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numPr>
          <w:ilvl w:val="0"/>
          <w:numId w:val="0"/>
        </w:numPr>
        <w:spacing w:beforeLines="0" w:after="156"/>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 xml:space="preserve"> 浙江衢州水业集团环境科技有限公司在线仪表运维服务采购项目采购内容及要求</w:t>
      </w:r>
      <w:bookmarkStart w:id="0" w:name="_GoBack"/>
      <w:bookmarkEnd w:id="0"/>
    </w:p>
    <w:p>
      <w:pPr>
        <w:pStyle w:val="6"/>
        <w:keepNext w:val="0"/>
        <w:keepLines w:val="0"/>
        <w:pageBreakBefore w:val="0"/>
        <w:widowControl/>
        <w:kinsoku/>
        <w:wordWrap/>
        <w:overflowPunct/>
        <w:topLinePunct w:val="0"/>
        <w:autoSpaceDE/>
        <w:autoSpaceDN/>
        <w:bidi w:val="0"/>
        <w:adjustRightInd w:val="0"/>
        <w:snapToGrid/>
        <w:spacing w:before="0" w:after="0" w:line="500" w:lineRule="exact"/>
        <w:ind w:firstLine="562" w:firstLineChars="200"/>
        <w:textAlignment w:val="auto"/>
        <w:rPr>
          <w:rFonts w:hint="eastAsia" w:ascii="仿宋" w:hAnsi="仿宋" w:eastAsia="仿宋" w:cs="仿宋"/>
          <w:b/>
          <w:sz w:val="28"/>
          <w:szCs w:val="28"/>
          <w:lang w:val="zh-CN"/>
        </w:rPr>
      </w:pPr>
      <w:r>
        <w:rPr>
          <w:rFonts w:hint="eastAsia" w:ascii="仿宋" w:hAnsi="仿宋" w:eastAsia="仿宋" w:cs="仿宋"/>
          <w:b/>
          <w:sz w:val="28"/>
          <w:szCs w:val="28"/>
          <w:lang w:val="en-US" w:eastAsia="zh-CN"/>
        </w:rPr>
        <w:t>一、</w:t>
      </w:r>
      <w:r>
        <w:rPr>
          <w:rFonts w:hint="eastAsia" w:ascii="仿宋" w:hAnsi="仿宋" w:eastAsia="仿宋" w:cs="仿宋"/>
          <w:b/>
          <w:sz w:val="28"/>
          <w:szCs w:val="28"/>
        </w:rPr>
        <w:t>技术要求</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 1 \* GB4 \* MERGEFORMAT </w:instrText>
      </w:r>
      <w:r>
        <w:rPr>
          <w:rFonts w:hint="eastAsia" w:ascii="仿宋" w:hAnsi="仿宋" w:eastAsia="仿宋" w:cs="仿宋"/>
          <w:color w:val="auto"/>
          <w:sz w:val="28"/>
          <w:szCs w:val="28"/>
          <w:highlight w:val="none"/>
        </w:rPr>
        <w:fldChar w:fldCharType="separate"/>
      </w:r>
      <w:r>
        <w:rPr>
          <w:rFonts w:hint="eastAsia" w:ascii="仿宋" w:hAnsi="仿宋" w:eastAsia="仿宋" w:cs="仿宋"/>
          <w:sz w:val="28"/>
          <w:szCs w:val="28"/>
        </w:rPr>
        <w:t>㈠</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执行标准：</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zh-CN"/>
        </w:rPr>
        <w:t>（HJ 355-2019）《水污染源在线监测系统（CODCr、NH3-N等）运行技术规范》</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zh-CN"/>
        </w:rPr>
        <w:t>（HJ 356-2019）《水污染源在线监测系统（CODCr、NH3-N等）数据有效性判别技术规范》</w:t>
      </w:r>
    </w:p>
    <w:p>
      <w:pPr>
        <w:keepNext w:val="0"/>
        <w:keepLines w:val="0"/>
        <w:pageBreakBefore w:val="0"/>
        <w:widowControl/>
        <w:kinsoku/>
        <w:wordWrap/>
        <w:overflowPunct/>
        <w:topLinePunct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2 \* GB4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㈡</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zh-CN"/>
        </w:rPr>
        <w:t>污染源在线设备运维内容</w:t>
      </w:r>
    </w:p>
    <w:tbl>
      <w:tblPr>
        <w:tblStyle w:val="7"/>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679"/>
        <w:gridCol w:w="1920"/>
        <w:gridCol w:w="1826"/>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18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textAlignment w:val="auto"/>
              <w:rPr>
                <w:rFonts w:hint="eastAsia" w:ascii="仿宋" w:hAnsi="仿宋" w:eastAsia="仿宋" w:cs="仿宋"/>
                <w:b/>
                <w:sz w:val="28"/>
                <w:szCs w:val="28"/>
                <w:lang w:val="zh-CN"/>
              </w:rPr>
            </w:pPr>
            <w:r>
              <w:rPr>
                <w:rFonts w:hint="eastAsia" w:ascii="仿宋" w:hAnsi="仿宋" w:eastAsia="仿宋" w:cs="仿宋"/>
                <w:b/>
                <w:sz w:val="28"/>
                <w:szCs w:val="28"/>
                <w:lang w:val="zh-CN"/>
              </w:rPr>
              <w:t>设备名称</w:t>
            </w:r>
          </w:p>
        </w:tc>
        <w:tc>
          <w:tcPr>
            <w:tcW w:w="167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
                <w:sz w:val="28"/>
                <w:szCs w:val="28"/>
                <w:lang w:val="zh-CN"/>
              </w:rPr>
            </w:pPr>
            <w:r>
              <w:rPr>
                <w:rFonts w:hint="eastAsia" w:ascii="仿宋" w:hAnsi="仿宋" w:eastAsia="仿宋" w:cs="仿宋"/>
                <w:b/>
                <w:sz w:val="28"/>
                <w:szCs w:val="28"/>
                <w:lang w:val="zh-CN"/>
              </w:rPr>
              <w:t>品牌</w:t>
            </w:r>
          </w:p>
        </w:tc>
        <w:tc>
          <w:tcPr>
            <w:tcW w:w="1920"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
                <w:sz w:val="28"/>
                <w:szCs w:val="28"/>
                <w:lang w:val="zh-CN"/>
              </w:rPr>
            </w:pPr>
            <w:r>
              <w:rPr>
                <w:rFonts w:hint="eastAsia" w:ascii="仿宋" w:hAnsi="仿宋" w:eastAsia="仿宋" w:cs="仿宋"/>
                <w:b/>
                <w:sz w:val="28"/>
                <w:szCs w:val="28"/>
                <w:lang w:val="zh-CN"/>
              </w:rPr>
              <w:t>规格型号</w:t>
            </w:r>
          </w:p>
        </w:tc>
        <w:tc>
          <w:tcPr>
            <w:tcW w:w="1826"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
                <w:sz w:val="28"/>
                <w:szCs w:val="28"/>
                <w:lang w:val="zh-CN"/>
              </w:rPr>
            </w:pPr>
            <w:r>
              <w:rPr>
                <w:rFonts w:hint="eastAsia" w:ascii="仿宋" w:hAnsi="仿宋" w:eastAsia="仿宋" w:cs="仿宋"/>
                <w:b/>
                <w:sz w:val="28"/>
                <w:szCs w:val="28"/>
                <w:lang w:val="zh-CN"/>
              </w:rPr>
              <w:t>数量</w:t>
            </w:r>
          </w:p>
        </w:tc>
        <w:tc>
          <w:tcPr>
            <w:tcW w:w="1424"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
                <w:sz w:val="28"/>
                <w:szCs w:val="28"/>
                <w:lang w:val="zh-CN"/>
              </w:rPr>
            </w:pPr>
            <w:r>
              <w:rPr>
                <w:rFonts w:hint="eastAsia" w:ascii="仿宋" w:hAnsi="仿宋" w:eastAsia="仿宋" w:cs="仿宋"/>
                <w:b/>
                <w:sz w:val="28"/>
                <w:szCs w:val="28"/>
                <w:lang w:val="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COD分析仪</w:t>
            </w:r>
          </w:p>
        </w:tc>
        <w:tc>
          <w:tcPr>
            <w:tcW w:w="167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哈希</w:t>
            </w:r>
          </w:p>
        </w:tc>
        <w:tc>
          <w:tcPr>
            <w:tcW w:w="1920"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textAlignment w:val="auto"/>
              <w:rPr>
                <w:rFonts w:hint="eastAsia" w:ascii="仿宋" w:hAnsi="仿宋" w:eastAsia="仿宋" w:cs="仿宋"/>
                <w:sz w:val="28"/>
                <w:szCs w:val="28"/>
                <w:lang w:val="zh-CN"/>
              </w:rPr>
            </w:pPr>
          </w:p>
        </w:tc>
        <w:tc>
          <w:tcPr>
            <w:tcW w:w="1826"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1台</w:t>
            </w:r>
          </w:p>
        </w:tc>
        <w:tc>
          <w:tcPr>
            <w:tcW w:w="1424" w:type="dxa"/>
            <w:vMerge w:val="restart"/>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color w:val="auto"/>
                <w:sz w:val="28"/>
                <w:szCs w:val="28"/>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18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总磷、总氮分析仪</w:t>
            </w:r>
          </w:p>
        </w:tc>
        <w:tc>
          <w:tcPr>
            <w:tcW w:w="167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DKK</w:t>
            </w:r>
          </w:p>
        </w:tc>
        <w:tc>
          <w:tcPr>
            <w:tcW w:w="1920"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textAlignment w:val="auto"/>
              <w:rPr>
                <w:rFonts w:hint="eastAsia" w:ascii="仿宋" w:hAnsi="仿宋" w:eastAsia="仿宋" w:cs="仿宋"/>
                <w:sz w:val="28"/>
                <w:szCs w:val="28"/>
                <w:lang w:val="zh-CN"/>
              </w:rPr>
            </w:pPr>
          </w:p>
        </w:tc>
        <w:tc>
          <w:tcPr>
            <w:tcW w:w="1826"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1台</w:t>
            </w:r>
          </w:p>
        </w:tc>
        <w:tc>
          <w:tcPr>
            <w:tcW w:w="1424"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jc w:val="center"/>
              <w:textAlignment w:val="auto"/>
              <w:rPr>
                <w:rFonts w:hint="eastAsia" w:ascii="仿宋" w:hAnsi="仿宋" w:eastAsia="仿宋" w:cs="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18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氨氮分析仪</w:t>
            </w:r>
          </w:p>
        </w:tc>
        <w:tc>
          <w:tcPr>
            <w:tcW w:w="167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哈希</w:t>
            </w:r>
          </w:p>
        </w:tc>
        <w:tc>
          <w:tcPr>
            <w:tcW w:w="1920"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textAlignment w:val="auto"/>
              <w:rPr>
                <w:rFonts w:hint="eastAsia" w:ascii="仿宋" w:hAnsi="仿宋" w:eastAsia="仿宋" w:cs="仿宋"/>
                <w:sz w:val="28"/>
                <w:szCs w:val="28"/>
                <w:lang w:val="zh-CN"/>
              </w:rPr>
            </w:pPr>
          </w:p>
        </w:tc>
        <w:tc>
          <w:tcPr>
            <w:tcW w:w="1826"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1台</w:t>
            </w:r>
          </w:p>
        </w:tc>
        <w:tc>
          <w:tcPr>
            <w:tcW w:w="1424"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jc w:val="center"/>
              <w:textAlignment w:val="auto"/>
              <w:rPr>
                <w:rFonts w:hint="eastAsia" w:ascii="仿宋" w:hAnsi="仿宋" w:eastAsia="仿宋" w:cs="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218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数采仪</w:t>
            </w:r>
          </w:p>
        </w:tc>
        <w:tc>
          <w:tcPr>
            <w:tcW w:w="167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杭州利奇</w:t>
            </w:r>
          </w:p>
        </w:tc>
        <w:tc>
          <w:tcPr>
            <w:tcW w:w="1920"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RICHE2000</w:t>
            </w:r>
          </w:p>
        </w:tc>
        <w:tc>
          <w:tcPr>
            <w:tcW w:w="1826"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1台</w:t>
            </w:r>
          </w:p>
        </w:tc>
        <w:tc>
          <w:tcPr>
            <w:tcW w:w="1424"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jc w:val="center"/>
              <w:textAlignment w:val="auto"/>
              <w:rPr>
                <w:rFonts w:hint="eastAsia" w:ascii="仿宋" w:hAnsi="仿宋" w:eastAsia="仿宋" w:cs="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218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PH计</w:t>
            </w:r>
          </w:p>
        </w:tc>
        <w:tc>
          <w:tcPr>
            <w:tcW w:w="167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WTW</w:t>
            </w:r>
          </w:p>
        </w:tc>
        <w:tc>
          <w:tcPr>
            <w:tcW w:w="1920"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textAlignment w:val="auto"/>
              <w:rPr>
                <w:rFonts w:hint="eastAsia" w:ascii="仿宋" w:hAnsi="仿宋" w:eastAsia="仿宋" w:cs="仿宋"/>
                <w:sz w:val="28"/>
                <w:szCs w:val="28"/>
                <w:lang w:val="zh-CN"/>
              </w:rPr>
            </w:pPr>
          </w:p>
        </w:tc>
        <w:tc>
          <w:tcPr>
            <w:tcW w:w="1826"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1套</w:t>
            </w:r>
          </w:p>
        </w:tc>
        <w:tc>
          <w:tcPr>
            <w:tcW w:w="1424"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jc w:val="center"/>
              <w:textAlignment w:val="auto"/>
              <w:rPr>
                <w:rFonts w:hint="eastAsia" w:ascii="仿宋" w:hAnsi="仿宋" w:eastAsia="仿宋" w:cs="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218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等比例采样仪</w:t>
            </w:r>
          </w:p>
        </w:tc>
        <w:tc>
          <w:tcPr>
            <w:tcW w:w="167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杭州</w:t>
            </w:r>
            <w:r>
              <w:rPr>
                <w:rFonts w:hint="default" w:ascii="仿宋" w:hAnsi="仿宋" w:eastAsia="仿宋" w:cs="仿宋"/>
                <w:sz w:val="28"/>
                <w:szCs w:val="28"/>
              </w:rPr>
              <w:t>利奇</w:t>
            </w:r>
          </w:p>
        </w:tc>
        <w:tc>
          <w:tcPr>
            <w:tcW w:w="1920"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textAlignment w:val="auto"/>
              <w:rPr>
                <w:rFonts w:hint="eastAsia" w:ascii="仿宋" w:hAnsi="仿宋" w:eastAsia="仿宋" w:cs="仿宋"/>
                <w:sz w:val="28"/>
                <w:szCs w:val="28"/>
                <w:lang w:val="zh-CN"/>
              </w:rPr>
            </w:pPr>
          </w:p>
        </w:tc>
        <w:tc>
          <w:tcPr>
            <w:tcW w:w="1826"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1台</w:t>
            </w:r>
          </w:p>
        </w:tc>
        <w:tc>
          <w:tcPr>
            <w:tcW w:w="1424"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jc w:val="center"/>
              <w:textAlignment w:val="auto"/>
              <w:rPr>
                <w:rFonts w:hint="eastAsia" w:ascii="仿宋" w:hAnsi="仿宋" w:eastAsia="仿宋" w:cs="仿宋"/>
                <w:sz w:val="28"/>
                <w:szCs w:val="28"/>
                <w:lang w:val="zh-CN"/>
              </w:rPr>
            </w:pPr>
          </w:p>
        </w:tc>
      </w:tr>
    </w:tbl>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注：以上在线监测系统已安装调试完成，并已通过当地验收，供应商应于开标前踏勘现场了解设备情况，评估运维期的风险。</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3 \* GB4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㈢</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zh-CN"/>
        </w:rPr>
        <w:t>污染源第三方检测服务内容</w:t>
      </w:r>
    </w:p>
    <w:tbl>
      <w:tblPr>
        <w:tblStyle w:val="7"/>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5"/>
        <w:gridCol w:w="1417"/>
        <w:gridCol w:w="1733"/>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15"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
                <w:sz w:val="28"/>
                <w:szCs w:val="28"/>
                <w:lang w:val="zh-CN"/>
              </w:rPr>
            </w:pPr>
            <w:r>
              <w:rPr>
                <w:rFonts w:hint="eastAsia" w:ascii="仿宋" w:hAnsi="仿宋" w:eastAsia="仿宋" w:cs="仿宋"/>
                <w:b/>
                <w:sz w:val="28"/>
                <w:szCs w:val="28"/>
                <w:lang w:val="zh-CN"/>
              </w:rPr>
              <w:t>比对因子</w:t>
            </w:r>
          </w:p>
        </w:tc>
        <w:tc>
          <w:tcPr>
            <w:tcW w:w="141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
                <w:sz w:val="28"/>
                <w:szCs w:val="28"/>
                <w:lang w:val="zh-CN"/>
              </w:rPr>
            </w:pPr>
            <w:r>
              <w:rPr>
                <w:rFonts w:hint="eastAsia" w:ascii="仿宋" w:hAnsi="仿宋" w:eastAsia="仿宋" w:cs="仿宋"/>
                <w:b/>
                <w:sz w:val="28"/>
                <w:szCs w:val="28"/>
                <w:lang w:val="zh-CN"/>
              </w:rPr>
              <w:t>比对频率</w:t>
            </w:r>
          </w:p>
        </w:tc>
        <w:tc>
          <w:tcPr>
            <w:tcW w:w="1733"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
                <w:sz w:val="28"/>
                <w:szCs w:val="28"/>
                <w:lang w:val="zh-CN"/>
              </w:rPr>
            </w:pPr>
            <w:r>
              <w:rPr>
                <w:rFonts w:hint="eastAsia" w:ascii="仿宋" w:hAnsi="仿宋" w:eastAsia="仿宋" w:cs="仿宋"/>
                <w:b/>
                <w:sz w:val="28"/>
                <w:szCs w:val="28"/>
                <w:lang w:val="zh-CN"/>
              </w:rPr>
              <w:t>样品组数</w:t>
            </w:r>
          </w:p>
        </w:tc>
        <w:tc>
          <w:tcPr>
            <w:tcW w:w="1734"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
                <w:sz w:val="28"/>
                <w:szCs w:val="28"/>
                <w:lang w:val="zh-CN"/>
              </w:rPr>
            </w:pPr>
            <w:r>
              <w:rPr>
                <w:rFonts w:hint="eastAsia" w:ascii="仿宋" w:hAnsi="仿宋" w:eastAsia="仿宋" w:cs="仿宋"/>
                <w:b/>
                <w:sz w:val="28"/>
                <w:szCs w:val="28"/>
                <w:lang w:val="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5"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PH、COD、氨氮、总磷、总氮</w:t>
            </w:r>
          </w:p>
        </w:tc>
        <w:tc>
          <w:tcPr>
            <w:tcW w:w="141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zh-CN"/>
              </w:rPr>
              <w:t>次</w:t>
            </w:r>
            <w:r>
              <w:rPr>
                <w:rFonts w:hint="eastAsia" w:ascii="仿宋" w:hAnsi="仿宋" w:eastAsia="仿宋" w:cs="仿宋"/>
                <w:sz w:val="28"/>
                <w:szCs w:val="28"/>
                <w:lang w:val="en-US" w:eastAsia="zh-CN"/>
              </w:rPr>
              <w:t>/月</w:t>
            </w:r>
          </w:p>
        </w:tc>
        <w:tc>
          <w:tcPr>
            <w:tcW w:w="1733"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3组</w:t>
            </w:r>
          </w:p>
        </w:tc>
        <w:tc>
          <w:tcPr>
            <w:tcW w:w="1734" w:type="dxa"/>
            <w:noWrap w:val="0"/>
            <w:vAlign w:val="center"/>
          </w:tcPr>
          <w:p>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color w:val="auto"/>
                <w:sz w:val="28"/>
                <w:szCs w:val="28"/>
                <w:highlight w:val="none"/>
                <w:lang w:val="en-US" w:eastAsia="zh-CN"/>
              </w:rPr>
              <w:t>1年</w:t>
            </w:r>
          </w:p>
        </w:tc>
      </w:tr>
    </w:tbl>
    <w:p>
      <w:pPr>
        <w:pStyle w:val="5"/>
        <w:keepNext w:val="0"/>
        <w:keepLines w:val="0"/>
        <w:pageBreakBefore w:val="0"/>
        <w:widowControl/>
        <w:kinsoku/>
        <w:wordWrap/>
        <w:overflowPunct/>
        <w:topLinePunct w:val="0"/>
        <w:bidi w:val="0"/>
        <w:adjustRightInd w:val="0"/>
        <w:snapToGrid/>
        <w:spacing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注：</w:t>
      </w:r>
      <w:r>
        <w:rPr>
          <w:rFonts w:hint="eastAsia" w:ascii="仿宋" w:hAnsi="仿宋" w:eastAsia="仿宋" w:cs="仿宋"/>
          <w:sz w:val="28"/>
          <w:szCs w:val="28"/>
          <w:lang w:val="en-US" w:eastAsia="zh-CN"/>
        </w:rPr>
        <w:t>成交供应商</w:t>
      </w:r>
      <w:r>
        <w:rPr>
          <w:rFonts w:hint="eastAsia" w:ascii="仿宋" w:hAnsi="仿宋" w:eastAsia="仿宋" w:cs="仿宋"/>
          <w:sz w:val="28"/>
          <w:szCs w:val="28"/>
          <w:lang w:val="zh-CN"/>
        </w:rPr>
        <w:t>委托负责比对工作的第三方环境监测机构必须取得计量认证合格证书（CMA证书），第三方环境监测机构出具的《实样比对监测报告》数据必须具有公正性且盖有CMA印章。</w:t>
      </w:r>
    </w:p>
    <w:p>
      <w:pPr>
        <w:pStyle w:val="6"/>
        <w:keepNext w:val="0"/>
        <w:keepLines w:val="0"/>
        <w:pageBreakBefore w:val="0"/>
        <w:widowControl/>
        <w:kinsoku/>
        <w:wordWrap/>
        <w:overflowPunct/>
        <w:topLinePunct w:val="0"/>
        <w:autoSpaceDE/>
        <w:autoSpaceDN/>
        <w:bidi w:val="0"/>
        <w:adjustRightInd w:val="0"/>
        <w:snapToGrid/>
        <w:spacing w:before="0" w:after="0" w:line="50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二、服务</w:t>
      </w:r>
      <w:r>
        <w:rPr>
          <w:rFonts w:hint="eastAsia" w:ascii="仿宋" w:hAnsi="仿宋" w:eastAsia="仿宋" w:cs="仿宋"/>
          <w:b/>
          <w:sz w:val="28"/>
          <w:szCs w:val="28"/>
        </w:rPr>
        <w:t>周期、要求及地点</w:t>
      </w:r>
    </w:p>
    <w:p>
      <w:pPr>
        <w:keepNext w:val="0"/>
        <w:keepLines w:val="0"/>
        <w:pageBreakBefore w:val="0"/>
        <w:widowControl/>
        <w:kinsoku/>
        <w:wordWrap/>
        <w:overflowPunct/>
        <w:topLinePunct w:val="0"/>
        <w:bidi w:val="0"/>
        <w:adjustRightInd w:val="0"/>
        <w:snapToGrid/>
        <w:spacing w:after="0"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本次采购的</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期限为自合同签订之日起12个月。</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zh-CN"/>
        </w:rPr>
        <w:t>.成交供应商对采购人或生态环境部门的要求必须1小时内响应，2小时内运维人员必须到达指定维护地点。</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3</w:t>
      </w:r>
      <w:r>
        <w:rPr>
          <w:rFonts w:hint="eastAsia" w:ascii="仿宋" w:hAnsi="仿宋" w:eastAsia="仿宋" w:cs="仿宋"/>
          <w:sz w:val="28"/>
          <w:szCs w:val="28"/>
          <w:lang w:val="zh-CN"/>
        </w:rPr>
        <w:t>.运行维护服务期间，凡污染源自动监控系统和监控中心在正常使用的情况下损坏的仪器、设备、部件，均由成交供应商负责采购、修复或更换，所有风险、责任等各项应有费用均应计入投标报价中，供应商在投标报价时综合考虑。</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4</w:t>
      </w:r>
      <w:r>
        <w:rPr>
          <w:rFonts w:hint="eastAsia" w:ascii="仿宋" w:hAnsi="仿宋" w:eastAsia="仿宋" w:cs="仿宋"/>
          <w:sz w:val="28"/>
          <w:szCs w:val="28"/>
          <w:lang w:val="zh-CN"/>
        </w:rPr>
        <w:t>.根据运维规模，满足日常工作管理需要，配备足够的运维和实验室专职人员。所有从事污染源在线监控设施的操作、管理人员和实验室分析人员需持证上岗。</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5</w:t>
      </w:r>
      <w:r>
        <w:rPr>
          <w:rFonts w:hint="eastAsia" w:ascii="仿宋" w:hAnsi="仿宋" w:eastAsia="仿宋" w:cs="仿宋"/>
          <w:sz w:val="28"/>
          <w:szCs w:val="28"/>
          <w:lang w:val="zh-CN"/>
        </w:rPr>
        <w:t>.配备专门的备品备机库，有充足的一般备品备机，确保及时更换，根据使用情况定期清点，按实际需要增购。</w:t>
      </w:r>
    </w:p>
    <w:p>
      <w:pPr>
        <w:pStyle w:val="6"/>
        <w:keepNext w:val="0"/>
        <w:keepLines w:val="0"/>
        <w:pageBreakBefore w:val="0"/>
        <w:widowControl/>
        <w:kinsoku/>
        <w:wordWrap/>
        <w:overflowPunct/>
        <w:topLinePunct w:val="0"/>
        <w:autoSpaceDE/>
        <w:autoSpaceDN/>
        <w:bidi w:val="0"/>
        <w:adjustRightInd w:val="0"/>
        <w:snapToGrid/>
        <w:spacing w:before="0" w:after="0" w:line="50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、付款方式</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按</w:t>
      </w:r>
      <w:r>
        <w:rPr>
          <w:rFonts w:hint="eastAsia" w:ascii="仿宋" w:hAnsi="仿宋" w:eastAsia="仿宋" w:cs="仿宋"/>
          <w:color w:val="auto"/>
          <w:kern w:val="0"/>
          <w:sz w:val="28"/>
          <w:szCs w:val="28"/>
          <w:lang w:val="en-US" w:eastAsia="zh-CN"/>
        </w:rPr>
        <w:t>年</w:t>
      </w:r>
      <w:r>
        <w:rPr>
          <w:rFonts w:hint="eastAsia" w:ascii="仿宋" w:hAnsi="仿宋" w:eastAsia="仿宋" w:cs="仿宋"/>
          <w:color w:val="auto"/>
          <w:kern w:val="0"/>
          <w:sz w:val="28"/>
          <w:szCs w:val="28"/>
        </w:rPr>
        <w:t>结算。服务期满后，</w:t>
      </w:r>
      <w:r>
        <w:rPr>
          <w:rFonts w:hint="eastAsia" w:ascii="仿宋" w:hAnsi="仿宋" w:eastAsia="仿宋" w:cs="仿宋"/>
          <w:color w:val="auto"/>
          <w:kern w:val="0"/>
          <w:sz w:val="28"/>
          <w:szCs w:val="28"/>
          <w:lang w:val="en-US" w:eastAsia="zh-CN"/>
        </w:rPr>
        <w:t>采购人</w:t>
      </w:r>
      <w:r>
        <w:rPr>
          <w:rFonts w:hint="eastAsia" w:ascii="仿宋" w:hAnsi="仿宋" w:eastAsia="仿宋" w:cs="仿宋"/>
          <w:color w:val="auto"/>
          <w:kern w:val="0"/>
          <w:sz w:val="28"/>
          <w:szCs w:val="28"/>
        </w:rPr>
        <w:t>在</w:t>
      </w:r>
      <w:r>
        <w:rPr>
          <w:rFonts w:hint="eastAsia" w:ascii="仿宋" w:hAnsi="仿宋" w:eastAsia="仿宋" w:cs="仿宋"/>
          <w:color w:val="auto"/>
          <w:kern w:val="0"/>
          <w:sz w:val="28"/>
          <w:szCs w:val="28"/>
          <w:lang w:val="en-US" w:eastAsia="zh-CN"/>
        </w:rPr>
        <w:t>收到成交供应商提供的增值税专用发票后</w:t>
      </w:r>
      <w:r>
        <w:rPr>
          <w:rFonts w:hint="eastAsia" w:ascii="仿宋" w:hAnsi="仿宋" w:eastAsia="仿宋" w:cs="仿宋"/>
          <w:color w:val="auto"/>
          <w:kern w:val="0"/>
          <w:sz w:val="28"/>
          <w:szCs w:val="28"/>
        </w:rPr>
        <w:t>十五个工作日内将</w:t>
      </w:r>
      <w:r>
        <w:rPr>
          <w:rFonts w:hint="eastAsia" w:ascii="仿宋" w:hAnsi="仿宋" w:eastAsia="仿宋" w:cs="仿宋"/>
          <w:color w:val="auto"/>
          <w:kern w:val="0"/>
          <w:sz w:val="28"/>
          <w:szCs w:val="28"/>
          <w:lang w:val="en-US" w:eastAsia="zh-CN"/>
        </w:rPr>
        <w:t>费用</w:t>
      </w:r>
      <w:r>
        <w:rPr>
          <w:rFonts w:hint="eastAsia" w:ascii="仿宋" w:hAnsi="仿宋" w:eastAsia="仿宋" w:cs="仿宋"/>
          <w:color w:val="auto"/>
          <w:kern w:val="0"/>
          <w:sz w:val="28"/>
          <w:szCs w:val="28"/>
        </w:rPr>
        <w:t>汇入</w:t>
      </w:r>
      <w:r>
        <w:rPr>
          <w:rFonts w:hint="eastAsia" w:ascii="仿宋" w:hAnsi="仿宋" w:eastAsia="仿宋" w:cs="仿宋"/>
          <w:color w:val="auto"/>
          <w:kern w:val="0"/>
          <w:sz w:val="28"/>
          <w:szCs w:val="28"/>
          <w:lang w:val="en-US" w:eastAsia="zh-CN"/>
        </w:rPr>
        <w:t>成交供应商</w:t>
      </w:r>
      <w:r>
        <w:rPr>
          <w:rFonts w:hint="eastAsia" w:ascii="仿宋" w:hAnsi="仿宋" w:eastAsia="仿宋" w:cs="仿宋"/>
          <w:color w:val="auto"/>
          <w:kern w:val="0"/>
          <w:sz w:val="28"/>
          <w:szCs w:val="28"/>
        </w:rPr>
        <w:t>指定账户。</w:t>
      </w:r>
    </w:p>
    <w:p>
      <w:pPr>
        <w:pStyle w:val="6"/>
        <w:keepNext w:val="0"/>
        <w:keepLines w:val="0"/>
        <w:pageBreakBefore w:val="0"/>
        <w:widowControl/>
        <w:kinsoku/>
        <w:wordWrap/>
        <w:overflowPunct/>
        <w:topLinePunct w:val="0"/>
        <w:autoSpaceDE/>
        <w:autoSpaceDN/>
        <w:bidi w:val="0"/>
        <w:adjustRightInd w:val="0"/>
        <w:snapToGrid/>
        <w:spacing w:before="0" w:after="0" w:line="50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四、</w:t>
      </w:r>
      <w:r>
        <w:rPr>
          <w:rFonts w:hint="eastAsia" w:ascii="仿宋" w:hAnsi="仿宋" w:eastAsia="仿宋" w:cs="仿宋"/>
          <w:b/>
          <w:sz w:val="28"/>
          <w:szCs w:val="28"/>
          <w:lang w:val="zh-CN"/>
        </w:rPr>
        <w:t>现场运维工作方案基本要求及考核要求</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本项目运维服务工作中，对供应商的基本要求、运维工作的主要内容和技术要求如下，以下未明确的内容参照《浙江省污染源自动监控系统运行维护工作指导意见》（浙环发[2010]19号）和生态环境部门的要求进行，并接受生态环境部门的监管和考核。生态环境部门对维保要求有修改的，以生态环境部门最新实施的要求为准。</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fldChar w:fldCharType="begin"/>
      </w:r>
      <w:r>
        <w:rPr>
          <w:rFonts w:hint="eastAsia" w:ascii="仿宋" w:hAnsi="仿宋" w:eastAsia="仿宋" w:cs="仿宋"/>
          <w:sz w:val="28"/>
          <w:szCs w:val="28"/>
          <w:lang w:val="zh-CN"/>
        </w:rPr>
        <w:instrText xml:space="preserve"> = 1 \* GB4 \* MERGEFORMAT </w:instrText>
      </w:r>
      <w:r>
        <w:rPr>
          <w:rFonts w:hint="eastAsia" w:ascii="仿宋" w:hAnsi="仿宋" w:eastAsia="仿宋" w:cs="仿宋"/>
          <w:sz w:val="28"/>
          <w:szCs w:val="28"/>
          <w:lang w:val="zh-CN"/>
        </w:rPr>
        <w:fldChar w:fldCharType="separate"/>
      </w:r>
      <w:r>
        <w:rPr>
          <w:rFonts w:hint="eastAsia" w:ascii="仿宋" w:hAnsi="仿宋" w:eastAsia="仿宋" w:cs="仿宋"/>
          <w:sz w:val="28"/>
          <w:szCs w:val="28"/>
        </w:rPr>
        <w:t>㈠</w:t>
      </w:r>
      <w:r>
        <w:rPr>
          <w:rFonts w:hint="eastAsia" w:ascii="仿宋" w:hAnsi="仿宋" w:eastAsia="仿宋" w:cs="仿宋"/>
          <w:sz w:val="28"/>
          <w:szCs w:val="28"/>
          <w:lang w:val="zh-CN"/>
        </w:rPr>
        <w:fldChar w:fldCharType="end"/>
      </w:r>
      <w:r>
        <w:rPr>
          <w:rFonts w:hint="eastAsia" w:ascii="仿宋" w:hAnsi="仿宋" w:eastAsia="仿宋" w:cs="仿宋"/>
          <w:sz w:val="28"/>
          <w:szCs w:val="28"/>
          <w:lang w:val="zh-CN"/>
        </w:rPr>
        <w:t>正常运行期间</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1.日常运维</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在线监测系统主要分为采样单元、监测单元、数据采集单元、辅助单元、监测站房单元几部分，每周检查维护1次，废水仪器日常运维按《水污染源在线监测系统（CODCr、NH3-N等）运行技术规范》（HJ/T355-2019）和《水污染源在线监测系统（CODCr、NH3-N等）数据有效性判别技术规范》（HJ 356-2019）实施。</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2.质量控制与保证</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废水类省控以上站点实样比对每月1次至合格；质控样比对每周1次至合格，其它每月比对1次至合格；实际样品的比对试验应实施全过程比对，即要包含样品采集过程。每季度进行重复性、零点漂移和量程漂移试验。运维范围内监测设备（例如TP、TN等）或难度较大的，可以与有资质的第三方监测站达成合作协议的前提下，委托监测站进行日常比对。</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3.监督核查</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根据监督核查的要求，配合监督人员临时开展以上各类检查。</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4.运行维护记录</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操作人员对系统进行日常维护时，应做好维护记录。维护记录应包含上述3项工作的各相关记录。</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fldChar w:fldCharType="begin"/>
      </w:r>
      <w:r>
        <w:rPr>
          <w:rFonts w:hint="eastAsia" w:ascii="仿宋" w:hAnsi="仿宋" w:eastAsia="仿宋" w:cs="仿宋"/>
          <w:sz w:val="28"/>
          <w:szCs w:val="28"/>
          <w:lang w:val="zh-CN"/>
        </w:rPr>
        <w:instrText xml:space="preserve"> = 2 \* GB4 \* MERGEFORMAT </w:instrText>
      </w:r>
      <w:r>
        <w:rPr>
          <w:rFonts w:hint="eastAsia" w:ascii="仿宋" w:hAnsi="仿宋" w:eastAsia="仿宋" w:cs="仿宋"/>
          <w:sz w:val="28"/>
          <w:szCs w:val="28"/>
          <w:lang w:val="zh-CN"/>
        </w:rPr>
        <w:fldChar w:fldCharType="separate"/>
      </w:r>
      <w:r>
        <w:rPr>
          <w:rFonts w:hint="eastAsia" w:ascii="仿宋" w:hAnsi="仿宋" w:eastAsia="仿宋" w:cs="仿宋"/>
          <w:sz w:val="28"/>
          <w:szCs w:val="28"/>
        </w:rPr>
        <w:t>㈡</w:t>
      </w:r>
      <w:r>
        <w:rPr>
          <w:rFonts w:hint="eastAsia" w:ascii="仿宋" w:hAnsi="仿宋" w:eastAsia="仿宋" w:cs="仿宋"/>
          <w:sz w:val="28"/>
          <w:szCs w:val="28"/>
          <w:lang w:val="zh-CN"/>
        </w:rPr>
        <w:fldChar w:fldCharType="end"/>
      </w:r>
      <w:r>
        <w:rPr>
          <w:rFonts w:hint="eastAsia" w:ascii="仿宋" w:hAnsi="仿宋" w:eastAsia="仿宋" w:cs="仿宋"/>
          <w:sz w:val="28"/>
          <w:szCs w:val="28"/>
          <w:lang w:val="zh-CN"/>
        </w:rPr>
        <w:t>故障期间</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1.故障诊断及修复</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仪器设备发生故障时，必须第一时间报告当地环保运维监管部门。对于一些容易诊断的故障，运行维护单位应直接带备件到现场进行针对性维修，此类故障排除时间不应超过24小时；对不易诊断或维修的仪器故障，在48小时内恢复自动监控设施正常运行；若72小时内无法排除，则运行维护单位使用备机。监测仪器在维修后正常运行前应进行1次校验和实际水样比对试验，合格后，向当地管理部门提交测试报告并申请进入正常运行状态。</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2.故障期保障</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省控以上站点设施非正常运行期间，要人工采样监测，每日不少于4次，间隔不得超过6小时，数据每日定时报送至当地生态环境局。</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3.故障维修记录</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操作人员对系统发生的故障进行维修时，应做好维修记录。维修记录应包含该系统故障状况、响应时间、故障分析、故障排除、申请恢复等工作的有关记录。</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fldChar w:fldCharType="begin"/>
      </w:r>
      <w:r>
        <w:rPr>
          <w:rFonts w:hint="eastAsia" w:ascii="仿宋" w:hAnsi="仿宋" w:eastAsia="仿宋" w:cs="仿宋"/>
          <w:sz w:val="28"/>
          <w:szCs w:val="28"/>
          <w:lang w:val="zh-CN"/>
        </w:rPr>
        <w:instrText xml:space="preserve"> = 3 \* GB4 \* MERGEFORMAT </w:instrText>
      </w:r>
      <w:r>
        <w:rPr>
          <w:rFonts w:hint="eastAsia" w:ascii="仿宋" w:hAnsi="仿宋" w:eastAsia="仿宋" w:cs="仿宋"/>
          <w:sz w:val="28"/>
          <w:szCs w:val="28"/>
          <w:lang w:val="zh-CN"/>
        </w:rPr>
        <w:fldChar w:fldCharType="separate"/>
      </w:r>
      <w:r>
        <w:rPr>
          <w:rFonts w:hint="eastAsia" w:ascii="仿宋" w:hAnsi="仿宋" w:eastAsia="仿宋" w:cs="仿宋"/>
          <w:sz w:val="28"/>
          <w:szCs w:val="28"/>
        </w:rPr>
        <w:t>㈢</w:t>
      </w:r>
      <w:r>
        <w:rPr>
          <w:rFonts w:hint="eastAsia" w:ascii="仿宋" w:hAnsi="仿宋" w:eastAsia="仿宋" w:cs="仿宋"/>
          <w:sz w:val="28"/>
          <w:szCs w:val="28"/>
          <w:lang w:val="zh-CN"/>
        </w:rPr>
        <w:fldChar w:fldCharType="end"/>
      </w:r>
      <w:r>
        <w:rPr>
          <w:rFonts w:hint="eastAsia" w:ascii="仿宋" w:hAnsi="仿宋" w:eastAsia="仿宋" w:cs="仿宋"/>
          <w:sz w:val="28"/>
          <w:szCs w:val="28"/>
          <w:lang w:val="zh-CN"/>
        </w:rPr>
        <w:t>停运期间</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1.停运前维护</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站位将长期停运的，必须向当地环保运维监管部门报告，并做好停运前的功能性检查。</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2.停运期</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停运期间，应继续开展仪器的日常维护，易耗品的功能检查，做好化学药品的管理。</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3.重启前维护</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站位长期停运后恢复监控需求的，在申请站点重启之前进行调试，达到验收要求后向当地生态环境部门申请重启。</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4.记录</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停运前、停运期、重启前的仪器维护应做好相应记录。</w:t>
      </w:r>
    </w:p>
    <w:p>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fldChar w:fldCharType="begin"/>
      </w:r>
      <w:r>
        <w:rPr>
          <w:rFonts w:hint="eastAsia" w:ascii="仿宋" w:hAnsi="仿宋" w:eastAsia="仿宋" w:cs="仿宋"/>
          <w:sz w:val="28"/>
          <w:szCs w:val="28"/>
          <w:lang w:val="zh-CN"/>
        </w:rPr>
        <w:instrText xml:space="preserve"> = 4 \* GB4 \* MERGEFORMAT </w:instrText>
      </w:r>
      <w:r>
        <w:rPr>
          <w:rFonts w:hint="eastAsia" w:ascii="仿宋" w:hAnsi="仿宋" w:eastAsia="仿宋" w:cs="仿宋"/>
          <w:sz w:val="28"/>
          <w:szCs w:val="28"/>
          <w:lang w:val="zh-CN"/>
        </w:rPr>
        <w:fldChar w:fldCharType="separate"/>
      </w:r>
      <w:r>
        <w:rPr>
          <w:rFonts w:hint="eastAsia" w:ascii="仿宋" w:hAnsi="仿宋" w:eastAsia="仿宋" w:cs="仿宋"/>
          <w:sz w:val="28"/>
          <w:szCs w:val="28"/>
        </w:rPr>
        <w:t>㈣</w:t>
      </w:r>
      <w:r>
        <w:rPr>
          <w:rFonts w:hint="eastAsia" w:ascii="仿宋" w:hAnsi="仿宋" w:eastAsia="仿宋" w:cs="仿宋"/>
          <w:sz w:val="28"/>
          <w:szCs w:val="28"/>
          <w:lang w:val="zh-CN"/>
        </w:rPr>
        <w:fldChar w:fldCharType="end"/>
      </w:r>
      <w:r>
        <w:rPr>
          <w:rFonts w:hint="eastAsia" w:ascii="仿宋" w:hAnsi="仿宋" w:eastAsia="仿宋" w:cs="仿宋"/>
          <w:sz w:val="28"/>
          <w:szCs w:val="28"/>
          <w:lang w:val="zh-CN"/>
        </w:rPr>
        <w:t>考核要求</w:t>
      </w:r>
    </w:p>
    <w:p>
      <w:pPr>
        <w:keepNext w:val="0"/>
        <w:keepLines w:val="0"/>
        <w:pageBreakBefore w:val="0"/>
        <w:widowControl/>
        <w:shd w:val="clear" w:color="auto" w:fill="FFFFFF"/>
        <w:kinsoku/>
        <w:wordWrap/>
        <w:overflowPunct/>
        <w:topLinePunct w:val="0"/>
        <w:bidi w:val="0"/>
        <w:adjustRightInd w:val="0"/>
        <w:snapToGrid w:val="0"/>
        <w:spacing w:line="240" w:lineRule="auto"/>
        <w:jc w:val="center"/>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运行维护考核要求</w:t>
      </w:r>
    </w:p>
    <w:tbl>
      <w:tblPr>
        <w:tblStyle w:val="7"/>
        <w:tblW w:w="9934" w:type="dxa"/>
        <w:tblInd w:w="-17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3"/>
        <w:gridCol w:w="4791"/>
        <w:gridCol w:w="1843"/>
        <w:gridCol w:w="1490"/>
        <w:gridCol w:w="9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序号</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考 核 项 目</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考 核 标 准</w:t>
            </w:r>
          </w:p>
        </w:tc>
        <w:tc>
          <w:tcPr>
            <w:tcW w:w="149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考核部门</w:t>
            </w:r>
          </w:p>
        </w:tc>
        <w:tc>
          <w:tcPr>
            <w:tcW w:w="92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乙方工作人员工作态度不端正、乙方现场工作不符合《安规》等（穿短袖，未正确佩戴安全帽）</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50-200 元/次</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trPr>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缺少运维三联单</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50-200 元/次</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在责任范围内，不按时执行甲方安排的维修消缺工作</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100-500 元/次</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乙方不按要求报送各类维修计划、施工组织设计、记录报表等</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100-500 元/次</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乙方未按合同规定进行巡检、标定、更换耗材（如滤 芯、填料）等定期工作</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200-500 元/次</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甲方发生应急事件，乙方不配合甲方临时安排的 应急处理工作（不限于合同范围）</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300-1000 元/次</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由于乙方维修质量原因，或违反甲方执行的检修规 程、运行规程、作业文件而造成设备投运后不符合要求 导致停运返修</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500元/台/次</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不执行釆购方检修质量验收制度</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100元/项</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因运维方责任，发生上级部门通报批评</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1000-1500 元/项</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省或地方上级部门和监督单位监测或抽查时、在现场进 行检测分析准确度抽测时：COD/氨氮、总磷总氮不符合要求；如抽测时系统设备故障，监测分析不能进行； 如采样等预处理有故障，或数据采集、传输、处 理有缺陷，影响数据有效采集。</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200-500 元/项</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因乙方责任造成《固定污染源废水连续监测系统现场核查表》扣分</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如总分未达80分，扣 1000-1500 元， 每扣1分扣100元</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12</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乙方根据当地</w:t>
            </w:r>
            <w:r>
              <w:rPr>
                <w:rFonts w:hint="eastAsia" w:ascii="仿宋" w:hAnsi="仿宋" w:eastAsia="仿宋" w:cs="仿宋"/>
                <w:sz w:val="28"/>
                <w:szCs w:val="28"/>
                <w:lang w:eastAsia="zh-CN"/>
              </w:rPr>
              <w:t>生态环境局</w:t>
            </w:r>
            <w:r>
              <w:rPr>
                <w:rFonts w:hint="eastAsia" w:ascii="仿宋" w:hAnsi="仿宋" w:eastAsia="仿宋" w:cs="仿宋"/>
                <w:sz w:val="28"/>
                <w:szCs w:val="28"/>
              </w:rPr>
              <w:t>认可的运行方案及国家</w:t>
            </w:r>
            <w:r>
              <w:rPr>
                <w:rFonts w:hint="eastAsia" w:ascii="仿宋" w:hAnsi="仿宋" w:eastAsia="仿宋" w:cs="仿宋"/>
                <w:sz w:val="28"/>
                <w:szCs w:val="28"/>
                <w:lang w:eastAsia="zh-CN"/>
              </w:rPr>
              <w:t>生态环境局</w:t>
            </w:r>
            <w:r>
              <w:rPr>
                <w:rFonts w:hint="eastAsia" w:ascii="仿宋" w:hAnsi="仿宋" w:eastAsia="仿宋" w:cs="仿宋"/>
                <w:sz w:val="28"/>
                <w:szCs w:val="28"/>
              </w:rPr>
              <w:t>、浙江省</w:t>
            </w:r>
            <w:r>
              <w:rPr>
                <w:rFonts w:hint="eastAsia" w:ascii="仿宋" w:hAnsi="仿宋" w:eastAsia="仿宋" w:cs="仿宋"/>
                <w:sz w:val="28"/>
                <w:szCs w:val="28"/>
                <w:lang w:eastAsia="zh-CN"/>
              </w:rPr>
              <w:t>生态环境局</w:t>
            </w:r>
            <w:r>
              <w:rPr>
                <w:rFonts w:hint="eastAsia" w:ascii="仿宋" w:hAnsi="仿宋" w:eastAsia="仿宋" w:cs="仿宋"/>
                <w:sz w:val="28"/>
                <w:szCs w:val="28"/>
              </w:rPr>
              <w:t>针对该类系统的运行技术规范及相应的管理要求，对该系统进行定期的维护、清洗、标定、维修等工作，若未按最新文件及国标及时更换运维台账 格式</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200-1000 元/项</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13</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每日巡检记录及日常维护和保养记录，每缺一项记录或记录中有错误</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200-500 元/项</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14</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维护记录未单独成册，不完整或不连续，不满足平均每周1次</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200-500 元/项</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15</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数采仪内参数设置有误</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500-1000 元/项</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16</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每月设备运转率和数据传输率低于90%</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500-1000 元/项</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17</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监测系统标液缺少或浓度不符合要求</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200-1000 元/项</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18</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若设备损坏严重且无法当场修复的，乙方应及时将该 设备进行维修直至系统恢复正常运转（不超过2个工作 日），若因乙方服务不到位、不及时造成延误系统恢复 正常运转，需甲方委托第三方进行人工检测，甲方 有权按情况对乙方按人工检测服务费的10〜30%的标 准进行考核。</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按实际费用</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19</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若系统仪器出现故障或甲方需要乙方对仪器进行检查，乙方须在接到通知之时起3小时（除夜间20时至 次日8时外）内到达现场进行维修。如环保要求有变化，按最新最严要求执行。</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200-500 元</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20</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每次环保检查，环保监测、计量检定等工作，乙方必须派运维人员参与，缺少一次</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500-1000 元</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1</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及时做好每台设备维护检修的纸质和电子台账（包括设 备检修记录、分析报告、消耗材料、工时等)，于每月3 号前交给甲方指定人员。次月3号前月度、季度、半年、全年运维总结，提出整改建议</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200-500 元/项</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2</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甲方发出生产现场文明整改通知单后，乙方仍旧不按期整改的</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200-500 元/次</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3</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乙方有关负责人不如实汇报工作情况，或隐瞒事实真相</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200-500 元/次</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4</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因乙方责任导致甲方被政府处罚，且造成甲方重 大经济损失时，（如处罚金额超过拾万、停产等），采购 方有权终止本协议，同时根据损失大小对乙方提出索 赔。</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按实际情况考核</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5</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遇到数据缺失或失真情况，没有应根据</w:t>
            </w:r>
            <w:r>
              <w:rPr>
                <w:rFonts w:hint="eastAsia" w:ascii="仿宋" w:hAnsi="仿宋" w:eastAsia="仿宋" w:cs="仿宋"/>
                <w:sz w:val="28"/>
                <w:szCs w:val="28"/>
                <w:lang w:eastAsia="zh-CN"/>
              </w:rPr>
              <w:t>生态环境部门</w:t>
            </w:r>
            <w:r>
              <w:rPr>
                <w:rFonts w:hint="eastAsia" w:ascii="仿宋" w:hAnsi="仿宋" w:eastAsia="仿宋" w:cs="仿宋"/>
                <w:sz w:val="28"/>
                <w:szCs w:val="28"/>
              </w:rPr>
              <w:t>要求及时进行补传或修约</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50-200 元/次</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6</w:t>
            </w:r>
          </w:p>
        </w:tc>
        <w:tc>
          <w:tcPr>
            <w:tcW w:w="47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因系统故障导致自动监测数据显示异常或监测数据上传中断，乙方未能及时向当地环保管理部门做好备案和解释工作，并同步将信息反馈给甲方</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50-200 元/次</w:t>
            </w:r>
          </w:p>
        </w:tc>
        <w:tc>
          <w:tcPr>
            <w:tcW w:w="149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c>
          <w:tcPr>
            <w:tcW w:w="9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FangSong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aiTi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133286"/>
    <w:multiLevelType w:val="multilevel"/>
    <w:tmpl w:val="45133286"/>
    <w:lvl w:ilvl="0" w:tentative="0">
      <w:start w:val="1"/>
      <w:numFmt w:val="chineseCountingThousand"/>
      <w:pStyle w:val="4"/>
      <w:lvlText w:val="%1."/>
      <w:lvlJc w:val="left"/>
      <w:pPr>
        <w:ind w:left="0" w:firstLine="0"/>
      </w:pPr>
      <w:rPr>
        <w:rFonts w:hint="eastAsia" w:ascii="宋体" w:hAnsi="宋体" w:eastAsia="宋体"/>
        <w:b/>
        <w:i w:val="0"/>
        <w:sz w:val="32"/>
        <w:szCs w:val="21"/>
      </w:rPr>
    </w:lvl>
    <w:lvl w:ilvl="1" w:tentative="0">
      <w:start w:val="1"/>
      <w:numFmt w:val="decimal"/>
      <w:lvlText w:val="%2."/>
      <w:lvlJc w:val="left"/>
      <w:pPr>
        <w:ind w:left="0" w:firstLine="0"/>
      </w:pPr>
      <w:rPr>
        <w:rFonts w:hint="eastAsia"/>
      </w:rPr>
    </w:lvl>
    <w:lvl w:ilvl="2" w:tentative="0">
      <w:start w:val="1"/>
      <w:numFmt w:val="decimal"/>
      <w:lvlText w:val="%2.%3."/>
      <w:lvlJc w:val="left"/>
      <w:pPr>
        <w:ind w:left="0" w:firstLine="0"/>
      </w:pPr>
      <w:rPr>
        <w:rFonts w:hint="eastAsia"/>
      </w:rPr>
    </w:lvl>
    <w:lvl w:ilvl="3" w:tentative="0">
      <w:start w:val="1"/>
      <w:numFmt w:val="decimal"/>
      <w:lvlText w:val="%2.%3.%4."/>
      <w:lvlJc w:val="left"/>
      <w:pPr>
        <w:ind w:left="0" w:firstLine="0"/>
      </w:pPr>
      <w:rPr>
        <w:rFonts w:hint="eastAsia"/>
      </w:rPr>
    </w:lvl>
    <w:lvl w:ilvl="4" w:tentative="0">
      <w:start w:val="1"/>
      <w:numFmt w:val="decimal"/>
      <w:lvlText w:val="%2.%3.%4.%5."/>
      <w:lvlJc w:val="left"/>
      <w:pPr>
        <w:ind w:left="0" w:firstLine="0"/>
      </w:pPr>
      <w:rPr>
        <w:rFonts w:hint="eastAsia"/>
      </w:rPr>
    </w:lvl>
    <w:lvl w:ilvl="5" w:tentative="0">
      <w:start w:val="1"/>
      <w:numFmt w:val="decimal"/>
      <w:isLgl/>
      <w:lvlText w:val="%2.%3.%4.%5.%6."/>
      <w:lvlJc w:val="left"/>
      <w:pPr>
        <w:ind w:left="0" w:firstLine="0"/>
      </w:pPr>
      <w:rPr>
        <w:rFonts w:hint="eastAsia" w:ascii="宋体" w:hAnsi="宋体" w:eastAsia="宋体" w:cs="Times New Roman"/>
        <w:b/>
        <w:bCs w:val="0"/>
        <w:i w:val="0"/>
        <w:iCs w:val="0"/>
        <w:caps w:val="0"/>
        <w:smallCaps w:val="0"/>
        <w:strike w:val="0"/>
        <w:dstrike w:val="0"/>
        <w:vanish w:val="0"/>
        <w:spacing w:val="0"/>
        <w:position w:val="0"/>
        <w:sz w:val="24"/>
        <w:u w:val="none"/>
        <w:vertAlign w:val="baseline"/>
      </w:rPr>
    </w:lvl>
    <w:lvl w:ilvl="6" w:tentative="0">
      <w:start w:val="1"/>
      <w:numFmt w:val="decimal"/>
      <w:isLg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933B6"/>
    <w:rsid w:val="02957B96"/>
    <w:rsid w:val="33493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4">
    <w:name w:val="heading 1"/>
    <w:basedOn w:val="1"/>
    <w:next w:val="1"/>
    <w:qFormat/>
    <w:uiPriority w:val="0"/>
    <w:pPr>
      <w:keepNext/>
      <w:keepLines/>
      <w:widowControl w:val="0"/>
      <w:numPr>
        <w:ilvl w:val="0"/>
        <w:numId w:val="1"/>
      </w:numPr>
      <w:adjustRightInd/>
      <w:snapToGrid/>
      <w:spacing w:beforeLines="50" w:afterLines="50" w:line="360" w:lineRule="auto"/>
      <w:outlineLvl w:val="0"/>
    </w:pPr>
    <w:rPr>
      <w:rFonts w:ascii="Times New Roman" w:hAnsi="Times New Roman" w:eastAsia="宋体"/>
      <w:b/>
      <w:kern w:val="44"/>
      <w:sz w:val="32"/>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FangSong_GB2312"/>
      <w:sz w:val="24"/>
      <w:szCs w:val="21"/>
    </w:rPr>
  </w:style>
  <w:style w:type="paragraph" w:styleId="3">
    <w:name w:val="Body Text First Indent"/>
    <w:basedOn w:val="2"/>
    <w:next w:val="1"/>
    <w:qFormat/>
    <w:uiPriority w:val="0"/>
    <w:pPr>
      <w:spacing w:line="360" w:lineRule="auto"/>
      <w:ind w:firstLine="420"/>
      <w:textAlignment w:val="baseline"/>
    </w:pPr>
    <w:rPr>
      <w:rFonts w:eastAsia="KaiTi_GB2312"/>
      <w:b/>
      <w:bCs/>
      <w:szCs w:val="20"/>
      <w:lang w:eastAsia="en-US"/>
    </w:rPr>
  </w:style>
  <w:style w:type="paragraph" w:styleId="5">
    <w:name w:val="Plain Text"/>
    <w:basedOn w:val="1"/>
    <w:next w:val="6"/>
    <w:qFormat/>
    <w:uiPriority w:val="0"/>
    <w:pPr>
      <w:overflowPunct w:val="0"/>
      <w:autoSpaceDE w:val="0"/>
      <w:autoSpaceDN w:val="0"/>
      <w:textAlignment w:val="baseline"/>
    </w:pPr>
    <w:rPr>
      <w:rFonts w:ascii="宋体" w:hAnsi="Courier New"/>
      <w:szCs w:val="20"/>
    </w:rPr>
  </w:style>
  <w:style w:type="paragraph" w:customStyle="1" w:styleId="6">
    <w:name w:val="Table Text"/>
    <w:basedOn w:val="1"/>
    <w:next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2023-08-03T01:05:00Z</dcterms:created>
  <dc:creator>Administrator</dc:creator>
  <cp:lastModifiedBy>Administrator</cp:lastModifiedBy>
  <dcterms:modified xsi:type="dcterms:W3CDTF">2023-08-07T09:11:31Z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6D29EE45919049FFA5BDF3466E164858</vt:lpwstr>
  </property>
</Properties>
</file>