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numPr>
          <w:numId w:val="0"/>
        </w:numPr>
        <w:snapToGrid w:val="0"/>
        <w:spacing w:before="0" w:beforeAutospacing="0" w:after="0" w:afterAutospacing="0" w:line="500" w:lineRule="atLeast"/>
        <w:jc w:val="center"/>
        <w:outlineLvl w:val="0"/>
        <w:rPr>
          <w:rFonts w:hint="eastAsia" w:ascii="仿宋" w:hAnsi="仿宋" w:eastAsia="仿宋" w:cs="仿宋"/>
          <w:b/>
          <w:color w:val="auto"/>
          <w:kern w:val="2"/>
          <w:sz w:val="36"/>
          <w:szCs w:val="36"/>
        </w:rPr>
      </w:pPr>
      <w:r>
        <w:rPr>
          <w:rFonts w:hint="eastAsia" w:ascii="仿宋" w:hAnsi="仿宋" w:eastAsia="仿宋" w:cs="仿宋"/>
          <w:b/>
          <w:color w:val="auto"/>
          <w:kern w:val="2"/>
          <w:sz w:val="36"/>
          <w:szCs w:val="36"/>
          <w:lang w:eastAsia="zh-CN"/>
        </w:rPr>
        <w:t>浙江衢州水业集团环境科技有限公司进水井渣斗改造采购项目采购内容及要求</w:t>
      </w:r>
      <w:bookmarkStart w:id="0" w:name="_GoBack"/>
      <w:bookmarkEnd w:id="0"/>
    </w:p>
    <w:p>
      <w:pPr>
        <w:pStyle w:val="4"/>
        <w:spacing w:line="480" w:lineRule="exact"/>
        <w:ind w:firstLine="560" w:firstLineChars="200"/>
        <w:rPr>
          <w:rFonts w:hint="eastAsia" w:ascii="仿宋" w:hAnsi="仿宋" w:eastAsia="仿宋" w:cs="仿宋"/>
          <w:color w:val="auto"/>
          <w:sz w:val="28"/>
          <w:szCs w:val="28"/>
          <w:lang w:val="zh-CN"/>
        </w:rPr>
      </w:pPr>
    </w:p>
    <w:p>
      <w:pPr>
        <w:bidi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一、工程量清单</w:t>
      </w:r>
    </w:p>
    <w:tbl>
      <w:tblPr>
        <w:tblStyle w:val="9"/>
        <w:tblW w:w="5525" w:type="pct"/>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719"/>
        <w:gridCol w:w="3914"/>
        <w:gridCol w:w="880"/>
        <w:gridCol w:w="98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9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名称</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型号及规格</w:t>
            </w:r>
          </w:p>
        </w:tc>
        <w:tc>
          <w:tcPr>
            <w:tcW w:w="4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单位</w:t>
            </w:r>
          </w:p>
        </w:tc>
        <w:tc>
          <w:tcPr>
            <w:tcW w:w="5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数量</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9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料斗密封罩</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尺寸：4.2m×2.2m×2m</w:t>
            </w:r>
          </w:p>
        </w:tc>
        <w:tc>
          <w:tcPr>
            <w:tcW w:w="4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5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9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钢轨道</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配套料斗使用</w:t>
            </w:r>
          </w:p>
        </w:tc>
        <w:tc>
          <w:tcPr>
            <w:tcW w:w="4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米</w:t>
            </w:r>
          </w:p>
        </w:tc>
        <w:tc>
          <w:tcPr>
            <w:tcW w:w="5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9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排水沟</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尺寸：0.5m×0.3m×30m,盖板尺寸0.4m×0.5m</w:t>
            </w:r>
          </w:p>
        </w:tc>
        <w:tc>
          <w:tcPr>
            <w:tcW w:w="4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米</w:t>
            </w:r>
          </w:p>
        </w:tc>
        <w:tc>
          <w:tcPr>
            <w:tcW w:w="5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p>
        </w:tc>
      </w:tr>
    </w:tbl>
    <w:p>
      <w:pPr>
        <w:bidi w:val="0"/>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二、密封罩技术要求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密闭罩要能满足被封闭空间内设备更换和检修的要求。</w:t>
      </w:r>
    </w:p>
    <w:p>
      <w:pPr>
        <w:pageBreakBefore w:val="0"/>
        <w:kinsoku/>
        <w:wordWrap/>
        <w:topLinePunct w:val="0"/>
        <w:bidi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预处理区粗格栅机的集气罩的主要结构采用围板：304不锈钢+ PC耐力板，顶板：304不锈钢+PC耐力板，全可拆卸式，集气罩在室内时，顶板需根据具体尺寸分割成若干块，顶板采用三角形，中间高，两边低，高差根据实际跨度核算后确定，PC耐力板厚度不小于4mm，不锈钢骨架采用不锈钢SS304方管（主立柱规格不小于</w:t>
      </w:r>
      <w:r>
        <w:rPr>
          <w:rFonts w:hint="eastAsia" w:ascii="仿宋" w:hAnsi="仿宋" w:eastAsia="仿宋" w:cs="仿宋"/>
          <w:sz w:val="28"/>
          <w:szCs w:val="28"/>
          <w:lang w:val="en-US" w:eastAsia="zh-CN"/>
        </w:rPr>
        <w:t>4</w:t>
      </w:r>
      <w:r>
        <w:rPr>
          <w:rFonts w:hint="eastAsia" w:ascii="仿宋" w:hAnsi="仿宋" w:eastAsia="仿宋" w:cs="仿宋"/>
          <w:sz w:val="28"/>
          <w:szCs w:val="28"/>
        </w:rPr>
        <w:t>0*</w:t>
      </w:r>
      <w:r>
        <w:rPr>
          <w:rFonts w:hint="eastAsia" w:ascii="仿宋" w:hAnsi="仿宋" w:eastAsia="仿宋" w:cs="仿宋"/>
          <w:sz w:val="28"/>
          <w:szCs w:val="28"/>
          <w:lang w:val="en-US" w:eastAsia="zh-CN"/>
        </w:rPr>
        <w:t>4</w:t>
      </w:r>
      <w:r>
        <w:rPr>
          <w:rFonts w:hint="eastAsia" w:ascii="仿宋" w:hAnsi="仿宋" w:eastAsia="仿宋" w:cs="仿宋"/>
          <w:sz w:val="28"/>
          <w:szCs w:val="28"/>
        </w:rPr>
        <w:t>0，厚度不小于2mm），密封材料为PC板，骨架间隔不大于1050*1050（mm）。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 1 \* GB4 \* MERGEFORMAT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㈠</w:t>
      </w:r>
      <w:r>
        <w:rPr>
          <w:rFonts w:hint="eastAsia" w:ascii="仿宋" w:hAnsi="仿宋" w:eastAsia="仿宋" w:cs="仿宋"/>
          <w:b/>
          <w:bCs/>
          <w:sz w:val="28"/>
          <w:szCs w:val="28"/>
        </w:rPr>
        <w:fldChar w:fldCharType="end"/>
      </w:r>
      <w:r>
        <w:rPr>
          <w:rFonts w:hint="eastAsia" w:ascii="仿宋" w:hAnsi="仿宋" w:eastAsia="仿宋" w:cs="仿宋"/>
          <w:b/>
          <w:bCs/>
          <w:sz w:val="28"/>
          <w:szCs w:val="28"/>
        </w:rPr>
        <w:t>不锈钢骨架+PC耐力板加罩材质要求</w:t>
      </w:r>
    </w:p>
    <w:p>
      <w:pPr>
        <w:pageBreakBefore w:val="0"/>
        <w:kinsoku/>
        <w:wordWrap/>
        <w:topLinePunct w:val="0"/>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PC耐力板应具备以下要求：</w:t>
      </w:r>
    </w:p>
    <w:p>
      <w:pPr>
        <w:pageBreakBefore w:val="0"/>
        <w:kinsoku/>
        <w:wordWrap/>
        <w:topLinePunct w:val="0"/>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透光性：具有良好的透光性，无色透明的板材透光率可达88%以上，与玻璃相近，是采光领域的优良材料。</w:t>
      </w:r>
    </w:p>
    <w:p>
      <w:pPr>
        <w:pageBreakBefore w:val="0"/>
        <w:kinsoku/>
        <w:wordWrap/>
        <w:topLinePunct w:val="0"/>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加工、安装性能：PC耐力板的比重约1.2克/立方厘米，只是普通玻璃的1/4，可极大节省安装、搬运费用。而且其可塑性好，便于进行各种机械加工，装修适用性很强。</w:t>
      </w:r>
    </w:p>
    <w:p>
      <w:pPr>
        <w:pageBreakBefore w:val="0"/>
        <w:kinsoku/>
        <w:wordWrap/>
        <w:topLinePunct w:val="0"/>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304不锈钢是应用最为广泛的一种铬-镍不锈钢，具有良好的耐蚀性、耐热性、低温强度和机械特性。304不锈钢是一种通用性的工程材料，具有优良的耐腐蚀性能和较好的抗晶间腐蚀性能，能有效抵抗空气或一般化学介质的腐蚀，特别适用于污水处理厂易腐蚀环境的池体加盖结构，切实保障了使整个结构的机械强度和寿命。同时，不锈钢304无须再过电镀或喷漆等表面处理即有很好耐蚀性能和金属光泽，加工方便、美观大气。</w:t>
      </w:r>
    </w:p>
    <w:p>
      <w:pPr>
        <w:pageBreakBefore w:val="0"/>
        <w:kinsoku/>
        <w:wordWrap/>
        <w:topLinePunct w:val="0"/>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通过以上分析，选用作为密封罩的材料应具有以下要求：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整体设计美观、经济、寿命长（10年以上）、防腐性能佳、自重轻、抗拉强度大、美观新颖。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选用骨架材料为优质304不锈钢方管，加工制作后无须再进行表面防腐，氩弧焊焊接后即可使用，操作方便。</w:t>
      </w:r>
    </w:p>
    <w:p>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整个加盖系统可承受风、雪等荷载、满足现行建筑结构荷载规范，适用于全国各个地区。加盖系统的固定附件、螺栓、螺母将全部采用不锈钢304材质，加盖设备均留有检修口或者检修门/观察口，方便运营维护。</w:t>
      </w:r>
    </w:p>
    <w:p>
      <w:pPr>
        <w:bidi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三、排水沟技术要求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1.地面垫层平整，垂直不得大于4nlin，严格控制地面梯度，每级误差不得大于2cm。</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2.排水沟砌筑前放出排水沟边线，根据标高控制线人工清土设计标高。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3.施工开挖时采用人工配合机械开挖，开挖时严格控制好宽度及标高，禁止出现超挖，对出现超挖的部分须采用粘土回填，回填时采用打夯机夯实。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4.砌块上下皮错缝搭砌，搭砌长度为砖块的1/2，不得小于砌块长度的1/3。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5.抹灰厚度不小于20mni，表面抹光处理，均匀平整。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四、垃圾料斗轨道技术要求</w:t>
      </w:r>
    </w:p>
    <w:p>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垃圾料斗四个车轮在两根导轨上作直线运动，如果导轨的轨距安装不当，车轮的边缘与导轨的侧面产生挤压，车轮将受阻二无法滚动。为避免出现这种情况，对导轨的安装提出下列要求：</w:t>
      </w:r>
    </w:p>
    <w:p>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1.导轨的纵向水平公差为1/1500米</w:t>
      </w:r>
    </w:p>
    <w:p>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2.导轨的横向水平度公差为1毫米</w:t>
      </w:r>
    </w:p>
    <w:p>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3.两导轨的平行度公差为5毫米</w:t>
      </w:r>
    </w:p>
    <w:p>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4.在同一横截面上两平行导轨的标高相对差不得大于5毫米</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五、履约保证金</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560" w:firstLineChars="200"/>
        <w:textAlignment w:val="auto"/>
        <w:rPr>
          <w:rFonts w:hint="eastAsia" w:ascii="仿宋_GB2312" w:hAnsi="Courier New" w:eastAsia="仿宋_GB2312" w:cs="Times New Roman"/>
          <w:color w:val="auto"/>
          <w:sz w:val="28"/>
          <w:szCs w:val="28"/>
          <w:highlight w:val="none"/>
          <w:lang w:val="zh-CN"/>
        </w:rPr>
      </w:pPr>
      <w:r>
        <w:rPr>
          <w:rFonts w:hint="eastAsia" w:ascii="仿宋_GB2312" w:hAnsi="Courier New" w:eastAsia="仿宋_GB2312" w:cs="Times New Roman"/>
          <w:color w:val="auto"/>
          <w:sz w:val="28"/>
          <w:szCs w:val="28"/>
          <w:highlight w:val="none"/>
          <w:lang w:val="zh-CN"/>
        </w:rPr>
        <w:t>成交供应商在合同签订前缴纳</w:t>
      </w:r>
      <w:r>
        <w:rPr>
          <w:rFonts w:hint="eastAsia" w:ascii="仿宋_GB2312" w:hAnsi="Courier New" w:eastAsia="仿宋_GB2312" w:cs="Times New Roman"/>
          <w:color w:val="auto"/>
          <w:sz w:val="28"/>
          <w:szCs w:val="28"/>
          <w:highlight w:val="none"/>
          <w:lang w:val="en-US" w:eastAsia="zh-CN"/>
        </w:rPr>
        <w:t>成交</w:t>
      </w:r>
      <w:r>
        <w:rPr>
          <w:rFonts w:hint="eastAsia" w:ascii="仿宋_GB2312" w:hAnsi="Courier New" w:eastAsia="仿宋_GB2312" w:cs="Times New Roman"/>
          <w:color w:val="auto"/>
          <w:sz w:val="28"/>
          <w:szCs w:val="28"/>
          <w:highlight w:val="none"/>
          <w:lang w:val="zh-CN"/>
        </w:rPr>
        <w:t>金额3%的履约保证金。</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560" w:firstLineChars="200"/>
        <w:textAlignment w:val="auto"/>
        <w:rPr>
          <w:rFonts w:hint="eastAsia" w:ascii="仿宋_GB2312" w:hAnsi="Courier New" w:eastAsia="仿宋_GB2312" w:cs="Times New Roman"/>
          <w:color w:val="auto"/>
          <w:sz w:val="28"/>
          <w:szCs w:val="28"/>
          <w:highlight w:val="none"/>
          <w:lang w:val="zh-CN"/>
        </w:rPr>
      </w:pPr>
      <w:r>
        <w:rPr>
          <w:rFonts w:hint="eastAsia" w:ascii="仿宋_GB2312" w:hAnsi="Courier New" w:eastAsia="仿宋_GB2312" w:cs="Times New Roman"/>
          <w:color w:val="auto"/>
          <w:sz w:val="28"/>
          <w:szCs w:val="28"/>
          <w:highlight w:val="none"/>
          <w:lang w:val="zh-CN"/>
        </w:rPr>
        <w:t>履约保证金的收取：网银、汇票、电汇、转账支付，接受银行保函、保险公司保</w:t>
      </w:r>
      <w:r>
        <w:rPr>
          <w:rFonts w:hint="eastAsia" w:ascii="仿宋_GB2312" w:hAnsi="Courier New" w:eastAsia="仿宋_GB2312" w:cs="Times New Roman"/>
          <w:color w:val="auto"/>
          <w:sz w:val="28"/>
          <w:szCs w:val="28"/>
          <w:highlight w:val="none"/>
          <w:lang w:val="en-US" w:eastAsia="zh-CN"/>
        </w:rPr>
        <w:t>函</w:t>
      </w:r>
      <w:r>
        <w:rPr>
          <w:rFonts w:hint="eastAsia" w:ascii="仿宋_GB2312" w:hAnsi="Courier New" w:eastAsia="仿宋_GB2312" w:cs="Times New Roman"/>
          <w:color w:val="auto"/>
          <w:sz w:val="28"/>
          <w:szCs w:val="28"/>
          <w:highlight w:val="none"/>
          <w:lang w:val="zh-CN"/>
        </w:rPr>
        <w:t>（保函期限：</w:t>
      </w:r>
      <w:r>
        <w:rPr>
          <w:rFonts w:hint="eastAsia" w:ascii="仿宋" w:hAnsi="仿宋" w:eastAsia="仿宋" w:cs="仿宋_GB2312"/>
          <w:b w:val="0"/>
          <w:bCs/>
          <w:color w:val="auto"/>
          <w:sz w:val="28"/>
          <w:szCs w:val="28"/>
          <w:highlight w:val="none"/>
          <w:u w:val="none"/>
          <w:lang w:val="zh-CN"/>
        </w:rPr>
        <w:t>保修期满</w:t>
      </w:r>
      <w:r>
        <w:rPr>
          <w:rFonts w:hint="eastAsia" w:ascii="仿宋_GB2312" w:hAnsi="Courier New" w:eastAsia="仿宋_GB2312" w:cs="Times New Roman"/>
          <w:color w:val="auto"/>
          <w:sz w:val="28"/>
          <w:szCs w:val="28"/>
          <w:highlight w:val="none"/>
          <w:lang w:val="zh-CN"/>
        </w:rPr>
        <w:t>后15个工作日），具体由双方另行协商。采用保函的须将其原件或扫描件（加盖单位公章）送（寄）至采购人指定地址。</w:t>
      </w:r>
    </w:p>
    <w:p>
      <w:r>
        <w:rPr>
          <w:rFonts w:hint="eastAsia" w:ascii="仿宋_GB2312" w:hAnsi="Courier New" w:eastAsia="仿宋_GB2312" w:cs="Times New Roman"/>
          <w:color w:val="auto"/>
          <w:sz w:val="28"/>
          <w:szCs w:val="28"/>
          <w:highlight w:val="none"/>
          <w:lang w:val="zh-CN"/>
        </w:rPr>
        <w:t>履约保证金的退回：履约保证金在</w:t>
      </w:r>
      <w:r>
        <w:rPr>
          <w:rFonts w:hint="eastAsia" w:ascii="仿宋" w:hAnsi="仿宋" w:eastAsia="仿宋" w:cs="仿宋_GB2312"/>
          <w:b w:val="0"/>
          <w:bCs/>
          <w:color w:val="auto"/>
          <w:sz w:val="28"/>
          <w:szCs w:val="28"/>
          <w:highlight w:val="none"/>
          <w:u w:val="none"/>
          <w:lang w:val="zh-CN"/>
        </w:rPr>
        <w:t>保修期满</w:t>
      </w:r>
      <w:r>
        <w:rPr>
          <w:rFonts w:hint="eastAsia" w:ascii="仿宋_GB2312" w:hAnsi="Courier New" w:eastAsia="仿宋_GB2312" w:cs="Times New Roman"/>
          <w:color w:val="auto"/>
          <w:sz w:val="28"/>
          <w:szCs w:val="28"/>
          <w:highlight w:val="none"/>
          <w:lang w:val="en-US" w:eastAsia="zh-CN"/>
        </w:rPr>
        <w:t>后30</w:t>
      </w:r>
      <w:r>
        <w:rPr>
          <w:rFonts w:hint="eastAsia" w:ascii="仿宋_GB2312" w:hAnsi="Courier New" w:eastAsia="仿宋_GB2312" w:cs="Times New Roman"/>
          <w:color w:val="auto"/>
          <w:sz w:val="28"/>
          <w:szCs w:val="28"/>
          <w:highlight w:val="none"/>
          <w:lang w:val="zh-CN"/>
        </w:rPr>
        <w:t>日内，扣除违约金（如有）后无息退还。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22198"/>
    <w:rsid w:val="50F50504"/>
    <w:rsid w:val="5EF2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afterLines="0"/>
    </w:pPr>
  </w:style>
  <w:style w:type="paragraph" w:styleId="4">
    <w:name w:val="Body Text Indent"/>
    <w:basedOn w:val="1"/>
    <w:next w:val="1"/>
    <w:qFormat/>
    <w:uiPriority w:val="0"/>
    <w:pPr>
      <w:ind w:firstLine="425"/>
    </w:pPr>
    <w:rPr>
      <w:kern w:val="2"/>
      <w:sz w:val="21"/>
      <w:szCs w:val="24"/>
    </w:rPr>
  </w:style>
  <w:style w:type="paragraph" w:styleId="5">
    <w:name w:val="Plain Text"/>
    <w:basedOn w:val="1"/>
    <w:next w:val="6"/>
    <w:qFormat/>
    <w:uiPriority w:val="0"/>
    <w:pPr>
      <w:spacing w:before="156" w:beforeLines="50" w:after="156" w:afterLines="50" w:line="400" w:lineRule="exact"/>
    </w:pPr>
    <w:rPr>
      <w:rFonts w:hint="eastAsia" w:ascii="宋体" w:hAnsi="Courier New" w:eastAsia="宋体" w:cs="宋体"/>
      <w:kern w:val="2"/>
      <w:sz w:val="21"/>
    </w:rPr>
  </w:style>
  <w:style w:type="paragraph" w:customStyle="1" w:styleId="6">
    <w:name w:val="Table Text"/>
    <w:basedOn w:val="1"/>
    <w:next w:val="1"/>
    <w:qFormat/>
    <w:uiPriority w:val="0"/>
    <w:pPr>
      <w:widowControl/>
      <w:spacing w:before="60" w:beforeLines="0" w:after="60" w:afterLines="0"/>
      <w:jc w:val="left"/>
    </w:pPr>
    <w:rPr>
      <w:kern w:val="0"/>
      <w:sz w:val="24"/>
    </w:rPr>
  </w:style>
  <w:style w:type="paragraph" w:styleId="7">
    <w:name w:val="Normal (Web)"/>
    <w:basedOn w:val="1"/>
    <w:qFormat/>
    <w:uiPriority w:val="99"/>
    <w:pPr>
      <w:widowControl/>
      <w:spacing w:before="100" w:beforeLines="0" w:beforeAutospacing="1" w:after="100" w:afterLines="0" w:afterAutospacing="1"/>
      <w:jc w:val="left"/>
    </w:pPr>
    <w:rPr>
      <w:rFonts w:hint="eastAsia" w:ascii="宋体"/>
      <w:kern w:val="0"/>
      <w:sz w:val="24"/>
      <w:szCs w:val="20"/>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3"/>
    <w:next w:val="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2023-08-07T07:34:00Z</dcterms:created>
  <dc:creator>Administrator</dc:creator>
  <cp:lastModifiedBy>Administrator</cp:lastModifiedBy>
  <dcterms:modified xsi:type="dcterms:W3CDTF">2023-08-07T08:19:03Z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5BA673CE1A6A41A89D5CFBB5C03A9395</vt:lpwstr>
  </property>
</Properties>
</file>