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D972D">
      <w:pP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附件：</w:t>
      </w:r>
    </w:p>
    <w:p w14:paraId="249B695D">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衢州市智慧城市网络安全中心-智慧城市大数据安全中心维保服务项目</w:t>
      </w:r>
      <w:r>
        <w:rPr>
          <w:rFonts w:hint="eastAsia" w:ascii="方正小标宋简体" w:hAnsi="方正小标宋简体" w:eastAsia="方正小标宋简体" w:cs="方正小标宋简体"/>
          <w:sz w:val="36"/>
          <w:szCs w:val="36"/>
        </w:rPr>
        <w:t>服务需求</w:t>
      </w:r>
      <w:bookmarkStart w:id="1" w:name="_GoBack"/>
      <w:bookmarkEnd w:id="1"/>
    </w:p>
    <w:p w14:paraId="2F085753">
      <w:pPr>
        <w:numPr>
          <w:ilvl w:val="0"/>
          <w:numId w:val="1"/>
        </w:numPr>
        <w:adjustRightInd w:val="0"/>
        <w:spacing w:line="600" w:lineRule="exact"/>
        <w:ind w:firstLine="600" w:firstLineChars="200"/>
        <w:rPr>
          <w:rFonts w:hint="eastAsia" w:ascii="仿宋_GB2312" w:hAnsi="Calibri" w:eastAsia="仿宋_GB2312"/>
          <w:sz w:val="30"/>
          <w:szCs w:val="30"/>
          <w:lang w:val="en-US" w:eastAsia="zh-CN"/>
        </w:rPr>
      </w:pPr>
      <w:r>
        <w:rPr>
          <w:rFonts w:hint="eastAsia" w:ascii="仿宋_GB2312" w:hAnsi="Calibri" w:eastAsia="仿宋_GB2312"/>
          <w:sz w:val="30"/>
          <w:szCs w:val="30"/>
        </w:rPr>
        <w:t>项目服务</w:t>
      </w:r>
      <w:r>
        <w:rPr>
          <w:rFonts w:hint="eastAsia" w:ascii="仿宋_GB2312" w:hAnsi="Calibri" w:eastAsia="仿宋_GB2312"/>
          <w:sz w:val="30"/>
          <w:szCs w:val="30"/>
          <w:lang w:val="en-US" w:eastAsia="zh-CN"/>
        </w:rPr>
        <w:t>需求</w:t>
      </w:r>
    </w:p>
    <w:tbl>
      <w:tblPr>
        <w:tblStyle w:val="5"/>
        <w:tblW w:w="7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4442"/>
        <w:gridCol w:w="1397"/>
        <w:gridCol w:w="1097"/>
      </w:tblGrid>
      <w:tr w14:paraId="7FF1E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91" w:type="dxa"/>
            <w:shd w:val="clear" w:color="auto" w:fill="auto"/>
            <w:vAlign w:val="center"/>
          </w:tcPr>
          <w:p w14:paraId="5FCEB164">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仿宋" w:hAnsi="仿宋" w:eastAsia="仿宋" w:cs="仿宋"/>
                <w:b/>
                <w:bCs/>
                <w:i w:val="0"/>
                <w:iCs w:val="0"/>
                <w:color w:val="auto"/>
                <w:spacing w:val="4"/>
                <w:kern w:val="0"/>
                <w:sz w:val="24"/>
                <w:szCs w:val="24"/>
                <w:u w:val="none"/>
                <w:lang w:val="en-US" w:eastAsia="zh-CN" w:bidi="ar"/>
              </w:rPr>
            </w:pPr>
            <w:r>
              <w:rPr>
                <w:rFonts w:hint="eastAsia" w:ascii="仿宋" w:hAnsi="仿宋" w:eastAsia="仿宋" w:cs="仿宋"/>
                <w:b/>
                <w:bCs/>
                <w:i w:val="0"/>
                <w:iCs w:val="0"/>
                <w:color w:val="auto"/>
                <w:spacing w:val="4"/>
                <w:kern w:val="0"/>
                <w:sz w:val="24"/>
                <w:szCs w:val="24"/>
                <w:u w:val="none"/>
                <w:lang w:val="en-US" w:eastAsia="zh-CN" w:bidi="ar"/>
              </w:rPr>
              <w:t>序号</w:t>
            </w:r>
          </w:p>
        </w:tc>
        <w:tc>
          <w:tcPr>
            <w:tcW w:w="4442" w:type="dxa"/>
            <w:shd w:val="clear" w:color="auto" w:fill="auto"/>
            <w:vAlign w:val="center"/>
          </w:tcPr>
          <w:p w14:paraId="6D7B7970">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仿宋" w:hAnsi="仿宋" w:eastAsia="仿宋" w:cs="仿宋"/>
                <w:b/>
                <w:bCs/>
                <w:i w:val="0"/>
                <w:iCs w:val="0"/>
                <w:color w:val="auto"/>
                <w:spacing w:val="4"/>
                <w:kern w:val="0"/>
                <w:sz w:val="24"/>
                <w:szCs w:val="24"/>
                <w:u w:val="none"/>
                <w:lang w:val="en-US" w:eastAsia="zh-CN" w:bidi="ar"/>
              </w:rPr>
            </w:pPr>
            <w:r>
              <w:rPr>
                <w:rFonts w:hint="eastAsia" w:ascii="仿宋" w:hAnsi="仿宋" w:eastAsia="仿宋" w:cs="仿宋"/>
                <w:b/>
                <w:bCs/>
                <w:i w:val="0"/>
                <w:iCs w:val="0"/>
                <w:color w:val="auto"/>
                <w:spacing w:val="4"/>
                <w:kern w:val="0"/>
                <w:sz w:val="24"/>
                <w:szCs w:val="24"/>
                <w:u w:val="none"/>
                <w:lang w:val="en-US" w:eastAsia="zh-CN" w:bidi="ar"/>
              </w:rPr>
              <w:t>服务名称</w:t>
            </w:r>
          </w:p>
        </w:tc>
        <w:tc>
          <w:tcPr>
            <w:tcW w:w="1397" w:type="dxa"/>
            <w:shd w:val="clear" w:color="auto" w:fill="auto"/>
            <w:vAlign w:val="center"/>
          </w:tcPr>
          <w:p w14:paraId="451FB033">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仿宋" w:hAnsi="仿宋" w:eastAsia="仿宋" w:cs="仿宋"/>
                <w:b/>
                <w:bCs/>
                <w:i w:val="0"/>
                <w:iCs w:val="0"/>
                <w:color w:val="auto"/>
                <w:spacing w:val="4"/>
                <w:kern w:val="0"/>
                <w:sz w:val="24"/>
                <w:szCs w:val="24"/>
                <w:u w:val="none"/>
                <w:lang w:val="en-US" w:eastAsia="zh-CN" w:bidi="ar"/>
              </w:rPr>
            </w:pPr>
            <w:r>
              <w:rPr>
                <w:rFonts w:hint="eastAsia" w:ascii="仿宋" w:hAnsi="仿宋" w:eastAsia="仿宋" w:cs="仿宋"/>
                <w:b/>
                <w:bCs/>
                <w:i w:val="0"/>
                <w:iCs w:val="0"/>
                <w:color w:val="auto"/>
                <w:spacing w:val="4"/>
                <w:kern w:val="0"/>
                <w:sz w:val="24"/>
                <w:szCs w:val="24"/>
                <w:u w:val="none"/>
                <w:lang w:val="en-US" w:eastAsia="zh-CN" w:bidi="ar"/>
              </w:rPr>
              <w:t>数量</w:t>
            </w:r>
          </w:p>
        </w:tc>
        <w:tc>
          <w:tcPr>
            <w:tcW w:w="1097" w:type="dxa"/>
            <w:shd w:val="clear" w:color="auto" w:fill="auto"/>
            <w:vAlign w:val="center"/>
          </w:tcPr>
          <w:p w14:paraId="294D4B00">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仿宋" w:hAnsi="仿宋" w:eastAsia="仿宋" w:cs="仿宋"/>
                <w:b/>
                <w:bCs/>
                <w:i w:val="0"/>
                <w:iCs w:val="0"/>
                <w:color w:val="auto"/>
                <w:spacing w:val="4"/>
                <w:kern w:val="0"/>
                <w:sz w:val="24"/>
                <w:szCs w:val="24"/>
                <w:u w:val="none"/>
                <w:lang w:val="en-US" w:eastAsia="zh-CN" w:bidi="ar"/>
              </w:rPr>
            </w:pPr>
            <w:r>
              <w:rPr>
                <w:rFonts w:hint="eastAsia" w:ascii="仿宋" w:hAnsi="仿宋" w:eastAsia="仿宋" w:cs="仿宋"/>
                <w:b/>
                <w:bCs/>
                <w:i w:val="0"/>
                <w:iCs w:val="0"/>
                <w:color w:val="auto"/>
                <w:spacing w:val="4"/>
                <w:kern w:val="0"/>
                <w:sz w:val="24"/>
                <w:szCs w:val="24"/>
                <w:u w:val="none"/>
                <w:lang w:val="en-US" w:eastAsia="zh-CN" w:bidi="ar"/>
              </w:rPr>
              <w:t>单位</w:t>
            </w:r>
          </w:p>
        </w:tc>
      </w:tr>
      <w:tr w14:paraId="51D39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91" w:type="dxa"/>
            <w:shd w:val="clear" w:color="auto" w:fill="auto"/>
            <w:vAlign w:val="center"/>
          </w:tcPr>
          <w:p w14:paraId="6AA9D904">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仿宋" w:hAnsi="仿宋" w:eastAsia="仿宋" w:cs="仿宋"/>
                <w:i w:val="0"/>
                <w:iCs w:val="0"/>
                <w:color w:val="auto"/>
                <w:spacing w:val="4"/>
                <w:kern w:val="0"/>
                <w:sz w:val="24"/>
                <w:szCs w:val="24"/>
                <w:u w:val="none"/>
                <w:lang w:val="en-US" w:eastAsia="zh-CN" w:bidi="ar"/>
              </w:rPr>
            </w:pPr>
            <w:r>
              <w:rPr>
                <w:rFonts w:hint="eastAsia" w:ascii="仿宋" w:hAnsi="仿宋" w:eastAsia="仿宋" w:cs="仿宋"/>
                <w:i w:val="0"/>
                <w:iCs w:val="0"/>
                <w:color w:val="auto"/>
                <w:spacing w:val="4"/>
                <w:kern w:val="0"/>
                <w:sz w:val="24"/>
                <w:szCs w:val="24"/>
                <w:u w:val="none"/>
                <w:lang w:val="en-US" w:eastAsia="zh-CN" w:bidi="ar"/>
              </w:rPr>
              <w:t>1</w:t>
            </w:r>
          </w:p>
        </w:tc>
        <w:tc>
          <w:tcPr>
            <w:tcW w:w="4442" w:type="dxa"/>
            <w:shd w:val="clear" w:color="auto" w:fill="auto"/>
            <w:vAlign w:val="center"/>
          </w:tcPr>
          <w:p w14:paraId="1D2054C1">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仿宋" w:hAnsi="仿宋" w:eastAsia="仿宋" w:cs="仿宋"/>
                <w:i w:val="0"/>
                <w:iCs w:val="0"/>
                <w:color w:val="auto"/>
                <w:spacing w:val="4"/>
                <w:kern w:val="0"/>
                <w:sz w:val="24"/>
                <w:szCs w:val="24"/>
                <w:u w:val="none"/>
                <w:lang w:val="en-US" w:eastAsia="zh-CN" w:bidi="ar"/>
              </w:rPr>
            </w:pPr>
            <w:r>
              <w:rPr>
                <w:rFonts w:hint="eastAsia" w:ascii="仿宋" w:hAnsi="仿宋" w:eastAsia="仿宋" w:cs="仿宋"/>
                <w:i w:val="0"/>
                <w:iCs w:val="0"/>
                <w:color w:val="auto"/>
                <w:spacing w:val="4"/>
                <w:kern w:val="0"/>
                <w:sz w:val="24"/>
                <w:szCs w:val="24"/>
                <w:u w:val="none"/>
                <w:lang w:val="en-US" w:eastAsia="zh-CN" w:bidi="ar"/>
              </w:rPr>
              <w:t>平台规则库升级</w:t>
            </w:r>
          </w:p>
        </w:tc>
        <w:tc>
          <w:tcPr>
            <w:tcW w:w="1397" w:type="dxa"/>
            <w:shd w:val="clear" w:color="auto" w:fill="auto"/>
            <w:vAlign w:val="center"/>
          </w:tcPr>
          <w:p w14:paraId="17B2995A">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仿宋" w:hAnsi="仿宋" w:eastAsia="仿宋" w:cs="仿宋"/>
                <w:i w:val="0"/>
                <w:iCs w:val="0"/>
                <w:color w:val="auto"/>
                <w:spacing w:val="4"/>
                <w:kern w:val="0"/>
                <w:sz w:val="24"/>
                <w:szCs w:val="24"/>
                <w:u w:val="none"/>
                <w:lang w:val="en-US" w:eastAsia="zh-CN" w:bidi="ar"/>
              </w:rPr>
            </w:pPr>
            <w:r>
              <w:rPr>
                <w:rFonts w:hint="eastAsia" w:ascii="仿宋" w:hAnsi="仿宋" w:eastAsia="仿宋" w:cs="仿宋"/>
                <w:i w:val="0"/>
                <w:iCs w:val="0"/>
                <w:color w:val="auto"/>
                <w:spacing w:val="4"/>
                <w:kern w:val="0"/>
                <w:sz w:val="24"/>
                <w:szCs w:val="24"/>
                <w:u w:val="none"/>
                <w:lang w:val="en-US" w:eastAsia="zh-CN" w:bidi="ar"/>
              </w:rPr>
              <w:t>1</w:t>
            </w:r>
          </w:p>
        </w:tc>
        <w:tc>
          <w:tcPr>
            <w:tcW w:w="1097" w:type="dxa"/>
            <w:shd w:val="clear" w:color="auto" w:fill="auto"/>
            <w:vAlign w:val="center"/>
          </w:tcPr>
          <w:p w14:paraId="769149CD">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仿宋" w:hAnsi="仿宋" w:eastAsia="仿宋" w:cs="仿宋"/>
                <w:i w:val="0"/>
                <w:iCs w:val="0"/>
                <w:color w:val="auto"/>
                <w:spacing w:val="4"/>
                <w:kern w:val="0"/>
                <w:sz w:val="24"/>
                <w:szCs w:val="24"/>
                <w:u w:val="none"/>
                <w:lang w:val="en-US" w:eastAsia="zh-CN" w:bidi="ar"/>
              </w:rPr>
            </w:pPr>
            <w:r>
              <w:rPr>
                <w:rFonts w:hint="eastAsia" w:ascii="仿宋" w:hAnsi="仿宋" w:eastAsia="仿宋" w:cs="仿宋"/>
                <w:i w:val="0"/>
                <w:iCs w:val="0"/>
                <w:color w:val="auto"/>
                <w:spacing w:val="4"/>
                <w:kern w:val="0"/>
                <w:sz w:val="24"/>
                <w:szCs w:val="24"/>
                <w:u w:val="none"/>
                <w:lang w:val="en-US" w:eastAsia="zh-CN" w:bidi="ar"/>
              </w:rPr>
              <w:t>年</w:t>
            </w:r>
          </w:p>
        </w:tc>
      </w:tr>
      <w:tr w14:paraId="1BD4D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91" w:type="dxa"/>
            <w:shd w:val="clear" w:color="auto" w:fill="auto"/>
            <w:vAlign w:val="center"/>
          </w:tcPr>
          <w:p w14:paraId="19107192">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仿宋" w:hAnsi="仿宋" w:eastAsia="仿宋" w:cs="仿宋"/>
                <w:i w:val="0"/>
                <w:iCs w:val="0"/>
                <w:color w:val="auto"/>
                <w:spacing w:val="4"/>
                <w:kern w:val="0"/>
                <w:sz w:val="24"/>
                <w:szCs w:val="24"/>
                <w:u w:val="none"/>
                <w:lang w:val="en-US" w:eastAsia="zh-CN" w:bidi="ar"/>
              </w:rPr>
            </w:pPr>
            <w:r>
              <w:rPr>
                <w:rFonts w:hint="eastAsia" w:ascii="仿宋" w:hAnsi="仿宋" w:eastAsia="仿宋" w:cs="仿宋"/>
                <w:i w:val="0"/>
                <w:iCs w:val="0"/>
                <w:color w:val="auto"/>
                <w:spacing w:val="4"/>
                <w:kern w:val="0"/>
                <w:sz w:val="24"/>
                <w:szCs w:val="24"/>
                <w:u w:val="none"/>
                <w:lang w:val="en-US" w:eastAsia="zh-CN" w:bidi="ar"/>
              </w:rPr>
              <w:t>2</w:t>
            </w:r>
          </w:p>
        </w:tc>
        <w:tc>
          <w:tcPr>
            <w:tcW w:w="4442" w:type="dxa"/>
            <w:shd w:val="clear" w:color="auto" w:fill="auto"/>
            <w:vAlign w:val="center"/>
          </w:tcPr>
          <w:p w14:paraId="3D8F9F82">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仿宋" w:hAnsi="仿宋" w:eastAsia="仿宋" w:cs="仿宋"/>
                <w:i w:val="0"/>
                <w:iCs w:val="0"/>
                <w:color w:val="auto"/>
                <w:spacing w:val="4"/>
                <w:kern w:val="0"/>
                <w:sz w:val="24"/>
                <w:szCs w:val="24"/>
                <w:u w:val="none"/>
                <w:lang w:val="en-US" w:eastAsia="zh-CN" w:bidi="ar"/>
              </w:rPr>
            </w:pPr>
            <w:r>
              <w:rPr>
                <w:rFonts w:hint="eastAsia" w:ascii="仿宋" w:hAnsi="仿宋" w:eastAsia="仿宋" w:cs="仿宋"/>
                <w:i w:val="0"/>
                <w:iCs w:val="0"/>
                <w:color w:val="auto"/>
                <w:spacing w:val="4"/>
                <w:kern w:val="0"/>
                <w:sz w:val="24"/>
                <w:szCs w:val="24"/>
                <w:u w:val="none"/>
                <w:lang w:val="en-US" w:eastAsia="zh-CN" w:bidi="ar"/>
              </w:rPr>
              <w:t>驻场人员服务</w:t>
            </w:r>
          </w:p>
        </w:tc>
        <w:tc>
          <w:tcPr>
            <w:tcW w:w="1397" w:type="dxa"/>
            <w:shd w:val="clear" w:color="auto" w:fill="auto"/>
            <w:vAlign w:val="center"/>
          </w:tcPr>
          <w:p w14:paraId="00F304FC">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仿宋" w:hAnsi="仿宋" w:eastAsia="仿宋" w:cs="仿宋"/>
                <w:i w:val="0"/>
                <w:iCs w:val="0"/>
                <w:color w:val="auto"/>
                <w:spacing w:val="4"/>
                <w:kern w:val="0"/>
                <w:sz w:val="24"/>
                <w:szCs w:val="24"/>
                <w:u w:val="none"/>
                <w:lang w:val="en-US" w:eastAsia="zh-CN" w:bidi="ar"/>
              </w:rPr>
            </w:pPr>
            <w:r>
              <w:rPr>
                <w:rFonts w:hint="eastAsia" w:ascii="仿宋" w:hAnsi="仿宋" w:eastAsia="仿宋" w:cs="仿宋"/>
                <w:i w:val="0"/>
                <w:iCs w:val="0"/>
                <w:color w:val="auto"/>
                <w:spacing w:val="4"/>
                <w:kern w:val="0"/>
                <w:sz w:val="24"/>
                <w:szCs w:val="24"/>
                <w:u w:val="none"/>
                <w:lang w:val="en-US" w:eastAsia="zh-CN" w:bidi="ar"/>
              </w:rPr>
              <w:t>1</w:t>
            </w:r>
          </w:p>
        </w:tc>
        <w:tc>
          <w:tcPr>
            <w:tcW w:w="1097" w:type="dxa"/>
            <w:shd w:val="clear" w:color="auto" w:fill="auto"/>
            <w:vAlign w:val="center"/>
          </w:tcPr>
          <w:p w14:paraId="6D491021">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仿宋" w:hAnsi="仿宋" w:eastAsia="仿宋" w:cs="仿宋"/>
                <w:i w:val="0"/>
                <w:iCs w:val="0"/>
                <w:color w:val="auto"/>
                <w:spacing w:val="4"/>
                <w:kern w:val="0"/>
                <w:sz w:val="24"/>
                <w:szCs w:val="24"/>
                <w:u w:val="none"/>
                <w:lang w:val="en-US" w:eastAsia="zh-CN" w:bidi="ar"/>
              </w:rPr>
            </w:pPr>
            <w:r>
              <w:rPr>
                <w:rFonts w:hint="eastAsia" w:ascii="仿宋" w:hAnsi="仿宋" w:eastAsia="仿宋" w:cs="仿宋"/>
                <w:i w:val="0"/>
                <w:iCs w:val="0"/>
                <w:color w:val="auto"/>
                <w:spacing w:val="4"/>
                <w:kern w:val="0"/>
                <w:sz w:val="24"/>
                <w:szCs w:val="24"/>
                <w:u w:val="none"/>
                <w:lang w:val="en-US" w:eastAsia="zh-CN" w:bidi="ar"/>
              </w:rPr>
              <w:t>年</w:t>
            </w:r>
          </w:p>
        </w:tc>
      </w:tr>
    </w:tbl>
    <w:p w14:paraId="68491450">
      <w:pPr>
        <w:pStyle w:val="7"/>
        <w:keepNext w:val="0"/>
        <w:keepLines w:val="0"/>
        <w:pageBreakBefore w:val="0"/>
        <w:widowControl w:val="0"/>
        <w:kinsoku/>
        <w:wordWrap/>
        <w:overflowPunct/>
        <w:topLinePunct w:val="0"/>
        <w:autoSpaceDE w:val="0"/>
        <w:autoSpaceDN w:val="0"/>
        <w:bidi w:val="0"/>
        <w:adjustRightInd w:val="0"/>
        <w:snapToGrid w:val="0"/>
        <w:spacing w:line="560" w:lineRule="exact"/>
        <w:ind w:firstLine="600" w:firstLineChars="200"/>
        <w:textAlignment w:val="auto"/>
        <w:rPr>
          <w:rFonts w:hint="eastAsia" w:ascii="仿宋_GB2312" w:hAnsi="Calibri" w:eastAsia="仿宋_GB2312" w:cs="Times New Roman"/>
          <w:color w:val="auto"/>
          <w:kern w:val="2"/>
          <w:sz w:val="30"/>
          <w:szCs w:val="30"/>
          <w:lang w:val="en-US" w:eastAsia="zh-CN" w:bidi="ar-SA"/>
        </w:rPr>
      </w:pPr>
      <w:bookmarkStart w:id="0" w:name="_Toc7023"/>
      <w:r>
        <w:rPr>
          <w:rFonts w:hint="eastAsia" w:ascii="仿宋_GB2312" w:hAnsi="Calibri" w:eastAsia="仿宋_GB2312" w:cs="Times New Roman"/>
          <w:color w:val="auto"/>
          <w:kern w:val="2"/>
          <w:sz w:val="30"/>
          <w:szCs w:val="30"/>
          <w:lang w:val="en-US" w:eastAsia="zh-CN" w:bidi="ar-SA"/>
        </w:rPr>
        <w:t>1）平台规则库升级服务</w:t>
      </w:r>
      <w:bookmarkEnd w:id="0"/>
    </w:p>
    <w:p w14:paraId="1D0E638D">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00" w:firstLineChars="200"/>
        <w:textAlignment w:val="auto"/>
        <w:rPr>
          <w:rFonts w:hint="eastAsia" w:ascii="仿宋_GB2312" w:hAnsi="Calibri" w:eastAsia="仿宋_GB2312" w:cs="Times New Roman"/>
          <w:color w:val="auto"/>
          <w:kern w:val="2"/>
          <w:sz w:val="30"/>
          <w:szCs w:val="30"/>
          <w:lang w:val="en-US" w:eastAsia="zh-CN" w:bidi="ar-SA"/>
        </w:rPr>
      </w:pPr>
      <w:r>
        <w:rPr>
          <w:rFonts w:hint="eastAsia" w:ascii="仿宋_GB2312" w:hAnsi="Calibri" w:eastAsia="仿宋_GB2312" w:cs="Times New Roman"/>
          <w:color w:val="auto"/>
          <w:kern w:val="2"/>
          <w:sz w:val="30"/>
          <w:szCs w:val="30"/>
          <w:lang w:val="en-US" w:eastAsia="zh-CN" w:bidi="ar-SA"/>
        </w:rPr>
        <w:t>定期评估现有安全策略的有效性，根据系统的实际运行情况和安全事件的处理结果及最新的威胁情报和安全漏洞信息，不断优化安全规则，提高系统的安全性，涉及系统：</w:t>
      </w:r>
    </w:p>
    <w:p w14:paraId="5FC91BB3">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00" w:firstLineChars="200"/>
        <w:textAlignment w:val="auto"/>
        <w:rPr>
          <w:rFonts w:hint="eastAsia" w:ascii="仿宋_GB2312" w:hAnsi="Calibri" w:eastAsia="仿宋_GB2312" w:cs="Times New Roman"/>
          <w:color w:val="auto"/>
          <w:kern w:val="2"/>
          <w:sz w:val="30"/>
          <w:szCs w:val="30"/>
          <w:lang w:val="en-US" w:eastAsia="zh-CN" w:bidi="ar-SA"/>
        </w:rPr>
      </w:pPr>
      <w:r>
        <w:rPr>
          <w:rFonts w:hint="eastAsia" w:ascii="仿宋_GB2312" w:hAnsi="Calibri" w:eastAsia="仿宋_GB2312" w:cs="Times New Roman"/>
          <w:color w:val="auto"/>
          <w:kern w:val="2"/>
          <w:sz w:val="30"/>
          <w:szCs w:val="30"/>
          <w:lang w:val="en-US" w:eastAsia="zh-CN" w:bidi="ar-SA"/>
        </w:rPr>
        <w:t>Web应用防火墙：维护web应用防护规则库，提升对web攻击的防护。</w:t>
      </w:r>
    </w:p>
    <w:p w14:paraId="46FD0472">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00" w:firstLineChars="200"/>
        <w:textAlignment w:val="auto"/>
        <w:rPr>
          <w:rFonts w:hint="eastAsia" w:ascii="仿宋_GB2312" w:hAnsi="Calibri" w:eastAsia="仿宋_GB2312" w:cs="Times New Roman"/>
          <w:color w:val="auto"/>
          <w:kern w:val="2"/>
          <w:sz w:val="30"/>
          <w:szCs w:val="30"/>
          <w:lang w:val="en-US" w:eastAsia="zh-CN" w:bidi="ar-SA"/>
        </w:rPr>
      </w:pPr>
      <w:r>
        <w:rPr>
          <w:rFonts w:hint="eastAsia" w:ascii="仿宋_GB2312" w:hAnsi="Calibri" w:eastAsia="仿宋_GB2312" w:cs="Times New Roman"/>
          <w:color w:val="auto"/>
          <w:kern w:val="2"/>
          <w:sz w:val="30"/>
          <w:szCs w:val="30"/>
          <w:lang w:val="en-US" w:eastAsia="zh-CN" w:bidi="ar-SA"/>
        </w:rPr>
        <w:t>大数据智能平台、流量分析系统、APT攻击预警平台：持续收集和分析关键信息基础设施单位的网络威胁情报，</w:t>
      </w:r>
      <w:r>
        <w:rPr>
          <w:rFonts w:hint="eastAsia" w:ascii="仿宋_GB2312" w:hAnsi="Calibri" w:eastAsia="仿宋_GB2312" w:cs="Times New Roman"/>
          <w:color w:val="auto"/>
          <w:kern w:val="2"/>
          <w:sz w:val="30"/>
          <w:szCs w:val="30"/>
          <w:lang w:val="en-US" w:eastAsia="zh-Hans" w:bidi="ar-SA"/>
        </w:rPr>
        <w:t>定期</w:t>
      </w:r>
      <w:r>
        <w:rPr>
          <w:rFonts w:hint="eastAsia" w:ascii="仿宋_GB2312" w:hAnsi="Calibri" w:eastAsia="仿宋_GB2312" w:cs="Times New Roman"/>
          <w:color w:val="auto"/>
          <w:kern w:val="2"/>
          <w:sz w:val="30"/>
          <w:szCs w:val="30"/>
          <w:lang w:val="en-US" w:eastAsia="zh-CN" w:bidi="ar-SA"/>
        </w:rPr>
        <w:t>更新APT攻击特征库，</w:t>
      </w:r>
      <w:r>
        <w:rPr>
          <w:rFonts w:hint="eastAsia" w:ascii="仿宋_GB2312" w:hAnsi="Calibri" w:eastAsia="仿宋_GB2312" w:cs="Times New Roman"/>
          <w:color w:val="auto"/>
          <w:kern w:val="2"/>
          <w:sz w:val="30"/>
          <w:szCs w:val="30"/>
          <w:lang w:val="en-US" w:eastAsia="zh-Hans" w:bidi="ar-SA"/>
        </w:rPr>
        <w:t>提升</w:t>
      </w:r>
      <w:r>
        <w:rPr>
          <w:rFonts w:hint="eastAsia" w:ascii="仿宋_GB2312" w:hAnsi="Calibri" w:eastAsia="仿宋_GB2312" w:cs="Times New Roman"/>
          <w:color w:val="auto"/>
          <w:kern w:val="2"/>
          <w:sz w:val="30"/>
          <w:szCs w:val="30"/>
          <w:lang w:val="en-US" w:eastAsia="zh-CN" w:bidi="ar-SA"/>
        </w:rPr>
        <w:t>对APT攻击</w:t>
      </w:r>
      <w:r>
        <w:rPr>
          <w:rFonts w:hint="eastAsia" w:ascii="仿宋_GB2312" w:hAnsi="Calibri" w:eastAsia="仿宋_GB2312" w:cs="Times New Roman"/>
          <w:color w:val="auto"/>
          <w:kern w:val="2"/>
          <w:sz w:val="30"/>
          <w:szCs w:val="30"/>
          <w:lang w:val="en-US" w:eastAsia="zh-Hans" w:bidi="ar-SA"/>
        </w:rPr>
        <w:t>预警</w:t>
      </w:r>
      <w:r>
        <w:rPr>
          <w:rFonts w:hint="eastAsia" w:ascii="仿宋_GB2312" w:hAnsi="Calibri" w:eastAsia="仿宋_GB2312" w:cs="Times New Roman"/>
          <w:color w:val="auto"/>
          <w:kern w:val="2"/>
          <w:sz w:val="30"/>
          <w:szCs w:val="30"/>
          <w:lang w:val="en-US" w:eastAsia="zh-CN" w:bidi="ar-SA"/>
        </w:rPr>
        <w:t>防范</w:t>
      </w:r>
      <w:r>
        <w:rPr>
          <w:rFonts w:hint="eastAsia" w:ascii="仿宋_GB2312" w:hAnsi="Calibri" w:eastAsia="仿宋_GB2312" w:cs="Times New Roman"/>
          <w:color w:val="auto"/>
          <w:kern w:val="2"/>
          <w:sz w:val="30"/>
          <w:szCs w:val="30"/>
          <w:lang w:val="en-US" w:eastAsia="zh-Hans" w:bidi="ar-SA"/>
        </w:rPr>
        <w:t>水平</w:t>
      </w:r>
      <w:r>
        <w:rPr>
          <w:rFonts w:hint="eastAsia" w:ascii="仿宋_GB2312" w:hAnsi="Calibri" w:eastAsia="仿宋_GB2312" w:cs="Times New Roman"/>
          <w:color w:val="auto"/>
          <w:kern w:val="2"/>
          <w:sz w:val="30"/>
          <w:szCs w:val="30"/>
          <w:lang w:val="en-US" w:eastAsia="zh-CN" w:bidi="ar-SA"/>
        </w:rPr>
        <w:t>。</w:t>
      </w:r>
    </w:p>
    <w:p w14:paraId="098967EE">
      <w:pPr>
        <w:pStyle w:val="7"/>
        <w:keepNext w:val="0"/>
        <w:keepLines w:val="0"/>
        <w:pageBreakBefore w:val="0"/>
        <w:widowControl w:val="0"/>
        <w:kinsoku/>
        <w:wordWrap/>
        <w:overflowPunct/>
        <w:topLinePunct w:val="0"/>
        <w:autoSpaceDE w:val="0"/>
        <w:autoSpaceDN w:val="0"/>
        <w:bidi w:val="0"/>
        <w:adjustRightInd w:val="0"/>
        <w:snapToGrid w:val="0"/>
        <w:spacing w:line="560" w:lineRule="exact"/>
        <w:ind w:firstLine="600" w:firstLineChars="200"/>
        <w:textAlignment w:val="auto"/>
        <w:rPr>
          <w:rFonts w:hint="eastAsia" w:ascii="仿宋_GB2312" w:hAnsi="Calibri" w:eastAsia="仿宋_GB2312" w:cs="Times New Roman"/>
          <w:color w:val="auto"/>
          <w:kern w:val="2"/>
          <w:sz w:val="30"/>
          <w:szCs w:val="30"/>
          <w:lang w:val="en-US" w:eastAsia="zh-CN" w:bidi="ar-SA"/>
        </w:rPr>
      </w:pPr>
      <w:r>
        <w:rPr>
          <w:rFonts w:hint="eastAsia" w:ascii="仿宋_GB2312" w:hAnsi="Calibri" w:eastAsia="仿宋_GB2312" w:cs="Times New Roman"/>
          <w:color w:val="auto"/>
          <w:kern w:val="2"/>
          <w:sz w:val="30"/>
          <w:szCs w:val="30"/>
          <w:lang w:val="en-US" w:eastAsia="zh-CN" w:bidi="ar-SA"/>
        </w:rPr>
        <w:t>2）驻场服务</w:t>
      </w:r>
    </w:p>
    <w:p w14:paraId="1FA8E381">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00" w:firstLineChars="200"/>
        <w:textAlignment w:val="auto"/>
        <w:rPr>
          <w:rFonts w:hint="eastAsia" w:ascii="仿宋_GB2312" w:hAnsi="Calibri" w:eastAsia="仿宋_GB2312" w:cs="Times New Roman"/>
          <w:color w:val="auto"/>
          <w:kern w:val="2"/>
          <w:sz w:val="30"/>
          <w:szCs w:val="30"/>
          <w:lang w:val="en-US" w:eastAsia="zh-CN" w:bidi="ar-SA"/>
        </w:rPr>
      </w:pPr>
      <w:r>
        <w:rPr>
          <w:rFonts w:hint="eastAsia" w:ascii="仿宋_GB2312" w:hAnsi="Calibri" w:eastAsia="仿宋_GB2312" w:cs="Times New Roman"/>
          <w:color w:val="auto"/>
          <w:kern w:val="2"/>
          <w:sz w:val="30"/>
          <w:szCs w:val="30"/>
          <w:lang w:val="en-US" w:eastAsia="zh-CN" w:bidi="ar-SA"/>
        </w:rPr>
        <w:t>服务要求：提供1名技术人员在我局驻场运维服务，并提供7*24小时应急响应服务。通过现场人员驻场的方式，对我局网络安全工作进行协助和支持，充分发挥专业的安全技术能力以及安全风险研判能力，保障客户网络运维、日常办公的有序运行。</w:t>
      </w:r>
    </w:p>
    <w:p w14:paraId="628C5E90">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00" w:firstLineChars="200"/>
        <w:textAlignment w:val="auto"/>
        <w:rPr>
          <w:rFonts w:hint="eastAsia" w:ascii="仿宋_GB2312" w:hAnsi="Calibri" w:eastAsia="仿宋_GB2312" w:cs="Times New Roman"/>
          <w:color w:val="auto"/>
          <w:kern w:val="2"/>
          <w:sz w:val="30"/>
          <w:szCs w:val="30"/>
          <w:lang w:val="en-US" w:eastAsia="zh-CN" w:bidi="ar-SA"/>
        </w:rPr>
      </w:pPr>
      <w:r>
        <w:rPr>
          <w:rFonts w:hint="eastAsia" w:ascii="仿宋_GB2312" w:hAnsi="Calibri" w:eastAsia="仿宋_GB2312" w:cs="Times New Roman"/>
          <w:color w:val="auto"/>
          <w:kern w:val="2"/>
          <w:sz w:val="30"/>
          <w:szCs w:val="30"/>
          <w:lang w:val="en-US" w:eastAsia="zh-CN" w:bidi="ar-SA"/>
        </w:rPr>
        <w:t>巡检服务主要包括两项内容：</w:t>
      </w:r>
    </w:p>
    <w:p w14:paraId="321A84B5">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00" w:firstLineChars="200"/>
        <w:textAlignment w:val="auto"/>
        <w:rPr>
          <w:rFonts w:hint="eastAsia" w:ascii="仿宋_GB2312" w:hAnsi="Calibri" w:eastAsia="仿宋_GB2312" w:cs="Times New Roman"/>
          <w:color w:val="auto"/>
          <w:kern w:val="2"/>
          <w:sz w:val="30"/>
          <w:szCs w:val="30"/>
          <w:lang w:val="en-US" w:eastAsia="zh-CN" w:bidi="ar-SA"/>
        </w:rPr>
      </w:pPr>
      <w:r>
        <w:rPr>
          <w:rFonts w:hint="eastAsia" w:ascii="仿宋_GB2312" w:hAnsi="Calibri" w:eastAsia="仿宋_GB2312" w:cs="Times New Roman"/>
          <w:color w:val="auto"/>
          <w:kern w:val="2"/>
          <w:sz w:val="30"/>
          <w:szCs w:val="30"/>
          <w:lang w:val="en-US" w:eastAsia="zh-CN" w:bidi="ar-SA"/>
        </w:rPr>
        <w:t>一是对智慧城市大数据安全中心平台设备的硬件日常运维巡检管理和网络配置的日常维护。由于系统软硬件之间的关联较为紧密，当系统出现故障或者异常时，供应商支持协助硬件组人员参与系统维护工作。</w:t>
      </w:r>
    </w:p>
    <w:p w14:paraId="73C51C2F">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00" w:firstLineChars="200"/>
        <w:textAlignment w:val="auto"/>
        <w:rPr>
          <w:rFonts w:hint="eastAsia" w:ascii="仿宋_GB2312" w:hAnsi="Calibri" w:eastAsia="仿宋_GB2312" w:cs="Times New Roman"/>
          <w:color w:val="auto"/>
          <w:kern w:val="2"/>
          <w:sz w:val="30"/>
          <w:szCs w:val="30"/>
          <w:lang w:val="en-US" w:eastAsia="zh-CN" w:bidi="ar-SA"/>
        </w:rPr>
      </w:pPr>
      <w:r>
        <w:rPr>
          <w:rFonts w:hint="eastAsia" w:ascii="仿宋_GB2312" w:hAnsi="Calibri" w:eastAsia="仿宋_GB2312" w:cs="Times New Roman"/>
          <w:color w:val="auto"/>
          <w:kern w:val="2"/>
          <w:sz w:val="30"/>
          <w:szCs w:val="30"/>
          <w:lang w:val="en-US" w:eastAsia="zh-CN" w:bidi="ar-SA"/>
        </w:rPr>
        <w:t>二是确保所有平台和服务器的软件版本保持最新，并及时更新补丁，完善安全加固措施，以防止已知漏洞被利用，涉及系统：</w:t>
      </w:r>
    </w:p>
    <w:p w14:paraId="362F1166">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00" w:firstLineChars="200"/>
        <w:textAlignment w:val="auto"/>
        <w:rPr>
          <w:rFonts w:hint="eastAsia" w:ascii="仿宋_GB2312" w:hAnsi="Calibri" w:eastAsia="仿宋_GB2312" w:cs="Times New Roman"/>
          <w:color w:val="auto"/>
          <w:kern w:val="2"/>
          <w:sz w:val="30"/>
          <w:szCs w:val="30"/>
          <w:lang w:val="en-US" w:eastAsia="zh-CN" w:bidi="ar-SA"/>
        </w:rPr>
      </w:pPr>
      <w:r>
        <w:rPr>
          <w:rFonts w:hint="eastAsia" w:ascii="仿宋_GB2312" w:hAnsi="Calibri" w:eastAsia="仿宋_GB2312" w:cs="Times New Roman"/>
          <w:color w:val="auto"/>
          <w:kern w:val="2"/>
          <w:sz w:val="30"/>
          <w:szCs w:val="30"/>
          <w:lang w:val="en-US" w:eastAsia="zh-CN" w:bidi="ar-SA"/>
        </w:rPr>
        <w:t>大数据智能平台：基于大数据分析、机器学习等先进技术，通过打造态势感知、通报预警等业务闭环，建设本地区政务网络安全的监管工作。</w:t>
      </w:r>
    </w:p>
    <w:p w14:paraId="6D44721C">
      <w:pPr>
        <w:adjustRightInd w:val="0"/>
        <w:spacing w:line="600" w:lineRule="exact"/>
        <w:ind w:firstLine="600" w:firstLineChars="200"/>
        <w:rPr>
          <w:rFonts w:hint="default" w:ascii="仿宋_GB2312" w:hAnsi="Calibri" w:eastAsia="仿宋_GB2312" w:cs="Times New Roman"/>
          <w:color w:val="auto"/>
          <w:kern w:val="2"/>
          <w:sz w:val="30"/>
          <w:szCs w:val="30"/>
          <w:lang w:val="en-US" w:eastAsia="zh-CN" w:bidi="ar-SA"/>
        </w:rPr>
      </w:pPr>
      <w:r>
        <w:rPr>
          <w:rFonts w:hint="eastAsia" w:ascii="仿宋_GB2312" w:hAnsi="Calibri" w:eastAsia="仿宋_GB2312" w:cs="Times New Roman"/>
          <w:color w:val="auto"/>
          <w:kern w:val="2"/>
          <w:sz w:val="30"/>
          <w:szCs w:val="30"/>
          <w:lang w:val="en-US" w:eastAsia="zh-CN" w:bidi="ar-SA"/>
        </w:rPr>
        <w:t>数据管控平台：利用复杂系统建模方法和大数据智能分析，提供流动数据风险治理、数据安全合规监管能力。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4D4E93"/>
    <w:multiLevelType w:val="singleLevel"/>
    <w:tmpl w:val="9D4D4E9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4377F3"/>
    <w:rsid w:val="1CC73178"/>
    <w:rsid w:val="4CDF2307"/>
    <w:rsid w:val="7D437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widowControl/>
      <w:adjustRightInd w:val="0"/>
      <w:snapToGrid w:val="0"/>
      <w:spacing w:line="480" w:lineRule="exact"/>
      <w:ind w:firstLine="567"/>
    </w:pPr>
    <w:rPr>
      <w:rFonts w:ascii="宋体"/>
      <w:snapToGrid w:val="0"/>
      <w:color w:val="000000"/>
      <w:kern w:val="28"/>
      <w:sz w:val="28"/>
    </w:rPr>
  </w:style>
  <w:style w:type="paragraph" w:styleId="3">
    <w:name w:val="Body Text Indent"/>
    <w:basedOn w:val="1"/>
    <w:next w:val="4"/>
    <w:qFormat/>
    <w:uiPriority w:val="0"/>
    <w:pPr>
      <w:spacing w:line="360" w:lineRule="auto"/>
      <w:ind w:firstLine="435"/>
    </w:pPr>
    <w:rPr>
      <w:sz w:val="28"/>
      <w:szCs w:val="24"/>
    </w:rPr>
  </w:style>
  <w:style w:type="paragraph" w:styleId="4">
    <w:name w:val="envelope return"/>
    <w:basedOn w:val="1"/>
    <w:qFormat/>
    <w:uiPriority w:val="0"/>
    <w:pPr>
      <w:snapToGrid w:val="0"/>
    </w:pPr>
    <w:rPr>
      <w:rFonts w:ascii="Arial" w:hAnsi="Arial" w:eastAsia="宋体" w:cs="Arial"/>
    </w:rPr>
  </w:style>
  <w:style w:type="paragraph" w:customStyle="1" w:styleId="7">
    <w:name w:val="Default"/>
    <w:basedOn w:val="1"/>
    <w:qFormat/>
    <w:uiPriority w:val="0"/>
    <w:pPr>
      <w:autoSpaceDE w:val="0"/>
      <w:autoSpaceDN w:val="0"/>
      <w:adjustRightInd w:val="0"/>
      <w:jc w:val="left"/>
    </w:pPr>
    <w:rPr>
      <w:rFonts w:ascii="宋体" w:hAnsi="Calibri" w:eastAsia="宋体" w:cs="Times New Roman"/>
      <w:color w:val="00000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638</Words>
  <Characters>653</Characters>
  <Lines>0</Lines>
  <Paragraphs>0</Paragraphs>
  <TotalTime>0</TotalTime>
  <ScaleCrop>false</ScaleCrop>
  <LinksUpToDate>false</LinksUpToDate>
  <CharactersWithSpaces>653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2025-10-29T03:26:00Z</dcterms:created>
  <dc:creator>administrator</dc:creator>
  <cp:lastModifiedBy>administrator</cp:lastModifiedBy>
  <dcterms:modified xsi:type="dcterms:W3CDTF">2025-10-29T07:55:44Z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205E652FEB4D4705A3381DC34D4E4066_11</vt:lpwstr>
  </property>
  <property fmtid="{D5CDD505-2E9C-101B-9397-08002B2CF9AE}" pid="4" name="KSOTemplateDocerSaveRecord">
    <vt:lpwstr>eyJoZGlkIjoiY2RhMmQ2NWIyYTU0MjQ5YzlmNTRkYzdjMGJkYzgxNDciLCJ1c2VySWQiOiI0NDQ5OTk1MDAifQ==</vt:lpwstr>
  </property>
</Properties>
</file>